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3947" w14:textId="77777777" w:rsidR="000476FD" w:rsidRDefault="000476FD" w:rsidP="00863899">
      <w:pPr>
        <w:spacing w:after="0" w:line="240" w:lineRule="auto"/>
        <w:rPr>
          <w:b/>
          <w:bCs/>
          <w:sz w:val="20"/>
          <w:szCs w:val="20"/>
        </w:rPr>
      </w:pPr>
    </w:p>
    <w:p w14:paraId="5F4C46B3" w14:textId="0C4134F2" w:rsidR="000476FD" w:rsidRPr="001F76E5" w:rsidRDefault="000476FD" w:rsidP="000476FD">
      <w:pPr>
        <w:pStyle w:val="Kopfzeile"/>
        <w:jc w:val="center"/>
        <w:rPr>
          <w:rStyle w:val="Buchtitel"/>
          <w:b w:val="0"/>
          <w:bCs w:val="0"/>
          <w:sz w:val="28"/>
          <w:szCs w:val="28"/>
        </w:rPr>
      </w:pPr>
      <w:r w:rsidRPr="001F76E5">
        <w:rPr>
          <w:rStyle w:val="Buchtitel"/>
          <w:sz w:val="28"/>
          <w:szCs w:val="28"/>
        </w:rPr>
        <w:t>Aus der DORA-Werkstatt</w:t>
      </w:r>
      <w:r w:rsidRPr="001F76E5">
        <w:rPr>
          <w:rStyle w:val="Buchtitel"/>
          <w:b w:val="0"/>
          <w:bCs w:val="0"/>
          <w:sz w:val="28"/>
          <w:szCs w:val="28"/>
        </w:rPr>
        <w:t>:</w:t>
      </w:r>
    </w:p>
    <w:p w14:paraId="1D293FAC" w14:textId="353362D1" w:rsidR="000476FD" w:rsidRPr="001F76E5" w:rsidRDefault="000476FD" w:rsidP="000476FD">
      <w:pPr>
        <w:pStyle w:val="Kopfzeile"/>
        <w:jc w:val="center"/>
        <w:rPr>
          <w:rStyle w:val="Buchtitel"/>
          <w:b w:val="0"/>
          <w:bCs w:val="0"/>
          <w:sz w:val="28"/>
          <w:szCs w:val="28"/>
        </w:rPr>
      </w:pPr>
      <w:r w:rsidRPr="001F76E5">
        <w:rPr>
          <w:rStyle w:val="Buchtitel"/>
          <w:b w:val="0"/>
          <w:bCs w:val="0"/>
          <w:sz w:val="28"/>
          <w:szCs w:val="28"/>
        </w:rPr>
        <w:t>Klassifizierungs</w:t>
      </w:r>
      <w:r w:rsidR="0064249B">
        <w:rPr>
          <w:rStyle w:val="Buchtitel"/>
          <w:b w:val="0"/>
          <w:bCs w:val="0"/>
          <w:sz w:val="28"/>
          <w:szCs w:val="28"/>
        </w:rPr>
        <w:t>schema</w:t>
      </w:r>
      <w:r w:rsidRPr="001F76E5">
        <w:rPr>
          <w:rStyle w:val="Buchtitel"/>
          <w:b w:val="0"/>
          <w:bCs w:val="0"/>
          <w:sz w:val="28"/>
          <w:szCs w:val="28"/>
        </w:rPr>
        <w:t xml:space="preserve"> für IKT-bezogene Vorfälle gemäß Artikel 18 (1) DORA-VO</w:t>
      </w:r>
    </w:p>
    <w:p w14:paraId="527C6C05" w14:textId="77777777" w:rsidR="000476FD" w:rsidRPr="00194A6D" w:rsidRDefault="000476FD" w:rsidP="000476FD">
      <w:pPr>
        <w:pStyle w:val="Kopfzeile"/>
        <w:rPr>
          <w:rStyle w:val="Buchtitel"/>
        </w:rPr>
      </w:pPr>
    </w:p>
    <w:p w14:paraId="1685D11E" w14:textId="0A48E10C" w:rsidR="00863899" w:rsidRDefault="00ED36D0" w:rsidP="00863899">
      <w:pPr>
        <w:spacing w:after="0" w:line="240" w:lineRule="auto"/>
        <w:rPr>
          <w:sz w:val="20"/>
          <w:szCs w:val="20"/>
        </w:rPr>
      </w:pPr>
      <w:r w:rsidRPr="00863899">
        <w:rPr>
          <w:b/>
          <w:bCs/>
          <w:sz w:val="20"/>
          <w:szCs w:val="20"/>
        </w:rPr>
        <w:t>Verwendungshinweis:</w:t>
      </w:r>
      <w:r w:rsidRPr="00863899">
        <w:rPr>
          <w:sz w:val="20"/>
          <w:szCs w:val="20"/>
        </w:rPr>
        <w:t xml:space="preserve"> </w:t>
      </w:r>
      <w:r w:rsidR="00863899">
        <w:rPr>
          <w:sz w:val="20"/>
          <w:szCs w:val="20"/>
        </w:rPr>
        <w:t xml:space="preserve">Das nachstehende Schema dient der Klassifizierung von IKT-bezogenen Vorfällen </w:t>
      </w:r>
      <w:r w:rsidR="00863899" w:rsidRPr="00863899">
        <w:rPr>
          <w:sz w:val="20"/>
          <w:szCs w:val="20"/>
        </w:rPr>
        <w:t>gemäß Artikel 18 (1) DORA-VO</w:t>
      </w:r>
      <w:r w:rsidR="00863899">
        <w:rPr>
          <w:sz w:val="20"/>
          <w:szCs w:val="20"/>
        </w:rPr>
        <w:t xml:space="preserve"> und </w:t>
      </w:r>
      <w:r w:rsidR="000476FD">
        <w:rPr>
          <w:sz w:val="20"/>
          <w:szCs w:val="20"/>
        </w:rPr>
        <w:t>der</w:t>
      </w:r>
      <w:r w:rsidR="00863899">
        <w:rPr>
          <w:sz w:val="20"/>
          <w:szCs w:val="20"/>
        </w:rPr>
        <w:t xml:space="preserve"> Ermittlung der meldepflichtigen „schwerwiegenden IKT-bezogenen Vorfälle</w:t>
      </w:r>
      <w:r w:rsidR="000476FD">
        <w:rPr>
          <w:sz w:val="20"/>
          <w:szCs w:val="20"/>
        </w:rPr>
        <w:t>n</w:t>
      </w:r>
      <w:r w:rsidR="00863899">
        <w:rPr>
          <w:sz w:val="20"/>
          <w:szCs w:val="20"/>
        </w:rPr>
        <w:t xml:space="preserve">“ gemäß </w:t>
      </w:r>
      <w:r w:rsidR="00863899" w:rsidRPr="00863899">
        <w:rPr>
          <w:sz w:val="20"/>
          <w:szCs w:val="20"/>
        </w:rPr>
        <w:t xml:space="preserve">Artikel </w:t>
      </w:r>
      <w:r w:rsidR="00863899">
        <w:rPr>
          <w:sz w:val="20"/>
          <w:szCs w:val="20"/>
        </w:rPr>
        <w:t>19 (1)</w:t>
      </w:r>
      <w:r w:rsidR="00863899" w:rsidRPr="00863899">
        <w:rPr>
          <w:sz w:val="20"/>
          <w:szCs w:val="20"/>
        </w:rPr>
        <w:t xml:space="preserve"> DORA-VO</w:t>
      </w:r>
      <w:r w:rsidR="00863899">
        <w:rPr>
          <w:sz w:val="20"/>
          <w:szCs w:val="20"/>
        </w:rPr>
        <w:t>.</w:t>
      </w:r>
    </w:p>
    <w:p w14:paraId="42A52678" w14:textId="083FE6CC" w:rsidR="00ED36D0" w:rsidRPr="00863899" w:rsidRDefault="00863899" w:rsidP="00863899">
      <w:pPr>
        <w:spacing w:after="0" w:line="240" w:lineRule="auto"/>
        <w:rPr>
          <w:sz w:val="20"/>
          <w:szCs w:val="20"/>
          <w:lang w:val="en-DE"/>
        </w:rPr>
      </w:pPr>
      <w:r>
        <w:rPr>
          <w:sz w:val="20"/>
          <w:szCs w:val="20"/>
        </w:rPr>
        <w:t xml:space="preserve">. </w:t>
      </w:r>
    </w:p>
    <w:tbl>
      <w:tblPr>
        <w:tblStyle w:val="Tabellenraster"/>
        <w:tblW w:w="10763" w:type="dxa"/>
        <w:tblLayout w:type="fixed"/>
        <w:tblLook w:val="04A0" w:firstRow="1" w:lastRow="0" w:firstColumn="1" w:lastColumn="0" w:noHBand="0" w:noVBand="1"/>
      </w:tblPr>
      <w:tblGrid>
        <w:gridCol w:w="365"/>
        <w:gridCol w:w="2257"/>
        <w:gridCol w:w="6347"/>
        <w:gridCol w:w="897"/>
        <w:gridCol w:w="897"/>
      </w:tblGrid>
      <w:tr w:rsidR="00A92659" w:rsidRPr="00A92659" w14:paraId="265A7917" w14:textId="77777777" w:rsidTr="00ED36D0">
        <w:tc>
          <w:tcPr>
            <w:tcW w:w="365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CA92579" w14:textId="77777777" w:rsidR="00A92659" w:rsidRPr="00A92659" w:rsidRDefault="00A92659" w:rsidP="00AD6422">
            <w:pPr>
              <w:rPr>
                <w:color w:val="FFFFFF" w:themeColor="background1"/>
                <w:sz w:val="18"/>
                <w:szCs w:val="18"/>
              </w:rPr>
            </w:pPr>
            <w:r w:rsidRPr="00A92659">
              <w:rPr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25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500F4DED" w14:textId="77777777" w:rsidR="00A92659" w:rsidRPr="00A92659" w:rsidRDefault="00A92659" w:rsidP="00AD6422">
            <w:pPr>
              <w:rPr>
                <w:color w:val="FFFFFF" w:themeColor="background1"/>
                <w:sz w:val="18"/>
                <w:szCs w:val="18"/>
              </w:rPr>
            </w:pPr>
            <w:r w:rsidRPr="00A92659">
              <w:rPr>
                <w:color w:val="FFFFFF" w:themeColor="background1"/>
                <w:sz w:val="18"/>
                <w:szCs w:val="18"/>
              </w:rPr>
              <w:t>Kriterium</w:t>
            </w:r>
          </w:p>
        </w:tc>
        <w:tc>
          <w:tcPr>
            <w:tcW w:w="634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62D550F" w14:textId="77777777" w:rsidR="00A92659" w:rsidRPr="00A92659" w:rsidRDefault="00A92659" w:rsidP="00AD6422">
            <w:pPr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A92659">
              <w:rPr>
                <w:color w:val="FFFFFF" w:themeColor="background1"/>
                <w:sz w:val="18"/>
                <w:szCs w:val="18"/>
              </w:rPr>
              <w:t>Kriterienbeschreibung</w:t>
            </w:r>
            <w:proofErr w:type="spellEnd"/>
          </w:p>
        </w:tc>
        <w:tc>
          <w:tcPr>
            <w:tcW w:w="89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4252A18" w14:textId="77777777" w:rsidR="00A92659" w:rsidRPr="00A92659" w:rsidRDefault="00A92659" w:rsidP="00AD642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60CCA81E" w14:textId="77777777" w:rsidR="00A92659" w:rsidRPr="00A92659" w:rsidRDefault="00A92659" w:rsidP="00AD6422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92659" w:rsidRPr="00A92659" w14:paraId="65607EA9" w14:textId="77777777" w:rsidTr="00ED36D0">
        <w:trPr>
          <w:trHeight w:val="40"/>
        </w:trPr>
        <w:tc>
          <w:tcPr>
            <w:tcW w:w="8969" w:type="dxa"/>
            <w:gridSpan w:val="3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77E43A4C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1) Kritikalität der betroffenen Dienste</w:t>
            </w:r>
          </w:p>
        </w:tc>
        <w:tc>
          <w:tcPr>
            <w:tcW w:w="89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099D78B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Nein</w:t>
            </w:r>
          </w:p>
        </w:tc>
        <w:tc>
          <w:tcPr>
            <w:tcW w:w="89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792D995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Ja</w:t>
            </w:r>
          </w:p>
        </w:tc>
      </w:tr>
      <w:tr w:rsidR="00A92659" w:rsidRPr="00A92659" w14:paraId="4622A7E7" w14:textId="77777777" w:rsidTr="00ED36D0">
        <w:trPr>
          <w:trHeight w:val="40"/>
        </w:trPr>
        <w:tc>
          <w:tcPr>
            <w:tcW w:w="365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41E81480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1.1</w:t>
            </w:r>
          </w:p>
        </w:tc>
        <w:tc>
          <w:tcPr>
            <w:tcW w:w="225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7F675D0B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KWF-relevanter IKT-Vorfall 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3B697A70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beeinträchtigt (wahrscheinlich) IKT-Assets, die kritische oder wichtige Funktionen unterstützen.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588AF5E0" w14:textId="312219FD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2CBD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5pt;height:21pt" o:ole="">
                  <v:imagedata r:id="rId8" o:title=""/>
                </v:shape>
                <w:control r:id="rId9" w:name="CheckBox11" w:shapeid="_x0000_i1113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6076E63" w14:textId="5964934D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3C7085C">
                <v:shape id="_x0000_i1115" type="#_x0000_t75" style="width:15pt;height:21pt" o:ole="">
                  <v:imagedata r:id="rId8" o:title=""/>
                </v:shape>
                <w:control r:id="rId10" w:name="CheckBox1" w:shapeid="_x0000_i1115"/>
              </w:object>
            </w:r>
          </w:p>
        </w:tc>
      </w:tr>
      <w:tr w:rsidR="00A92659" w:rsidRPr="00A92659" w14:paraId="6E3A7DA1" w14:textId="77777777" w:rsidTr="00ED36D0">
        <w:tc>
          <w:tcPr>
            <w:tcW w:w="365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3A901DE3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1.2</w:t>
            </w:r>
          </w:p>
        </w:tc>
        <w:tc>
          <w:tcPr>
            <w:tcW w:w="225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45D7668E" w14:textId="13D2A0A3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Lizenzierungsrelevanter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73862E4C" w14:textId="5F49230D" w:rsidR="00863899" w:rsidRPr="00A92659" w:rsidRDefault="00A92659" w:rsidP="00863899">
            <w:pPr>
              <w:pStyle w:val="Funotentext"/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beeinträchtigt (wahrscheinlich), zulassungs- oder registrierungspflichtige </w:t>
            </w:r>
            <w:r w:rsidRPr="00863899">
              <w:rPr>
                <w:sz w:val="18"/>
                <w:szCs w:val="18"/>
              </w:rPr>
              <w:t>Finanzdienstleistungen.</w:t>
            </w:r>
            <w:r w:rsidR="00863899" w:rsidRPr="00863899">
              <w:rPr>
                <w:sz w:val="18"/>
                <w:szCs w:val="18"/>
              </w:rPr>
              <w:t xml:space="preserve"> Eine Liste der lizenzierten Tätigkeiten wird bereitgestellt durch die EBA im Kontext des Informationsregister, abzurufen unter folgendem </w:t>
            </w:r>
            <w:hyperlink r:id="rId11" w:history="1">
              <w:r w:rsidR="00863899" w:rsidRPr="00863899">
                <w:rPr>
                  <w:rStyle w:val="Hyperlink"/>
                  <w:sz w:val="18"/>
                  <w:szCs w:val="18"/>
                </w:rPr>
                <w:t>Link</w:t>
              </w:r>
            </w:hyperlink>
            <w:r w:rsidR="00863899" w:rsidRPr="00863899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7DAB1C35" w14:textId="29D3AAD3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598AAA8">
                <v:shape id="_x0000_i1117" type="#_x0000_t75" style="width:15pt;height:21pt" o:ole="">
                  <v:imagedata r:id="rId8" o:title=""/>
                </v:shape>
                <w:control r:id="rId12" w:name="CheckBox12" w:shapeid="_x0000_i1117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28660E2C" w14:textId="6A53327E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CD7C4F9">
                <v:shape id="_x0000_i1119" type="#_x0000_t75" style="width:15pt;height:21pt" o:ole="">
                  <v:imagedata r:id="rId8" o:title=""/>
                </v:shape>
                <w:control r:id="rId13" w:name="CheckBox13" w:shapeid="_x0000_i1119"/>
              </w:object>
            </w:r>
          </w:p>
        </w:tc>
      </w:tr>
      <w:tr w:rsidR="00A92659" w:rsidRPr="00A92659" w14:paraId="6038B764" w14:textId="77777777" w:rsidTr="00ED36D0">
        <w:tc>
          <w:tcPr>
            <w:tcW w:w="365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54F28CE9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1.3</w:t>
            </w:r>
          </w:p>
        </w:tc>
        <w:tc>
          <w:tcPr>
            <w:tcW w:w="225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7814B78F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Cybersicherheits-Angriff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2DBD80B5" w14:textId="0D49B138" w:rsidR="00A92659" w:rsidRPr="00ED36D0" w:rsidRDefault="00A92659" w:rsidP="00AD6422">
            <w:pPr>
              <w:rPr>
                <w:color w:val="FF0000"/>
                <w:sz w:val="20"/>
                <w:szCs w:val="20"/>
              </w:rPr>
            </w:pPr>
            <w:r w:rsidRPr="00A92659">
              <w:rPr>
                <w:sz w:val="18"/>
                <w:szCs w:val="18"/>
              </w:rPr>
              <w:t xml:space="preserve">Der Vorfall stellt (wahrscheinlich) einen erfolgreichen, böswilligen Cyber-Angriff dar </w:t>
            </w:r>
            <w:r w:rsidRPr="00A92659">
              <w:rPr>
                <w:sz w:val="18"/>
                <w:szCs w:val="18"/>
                <w:u w:val="single"/>
              </w:rPr>
              <w:t>und</w:t>
            </w:r>
            <w:r w:rsidRPr="00A92659">
              <w:rPr>
                <w:sz w:val="18"/>
                <w:szCs w:val="18"/>
              </w:rPr>
              <w:t xml:space="preserve"> beeinträchtigt die Verfügbarkeit, Vertraulichkeit, Integrität und Authentizität von Daten.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59FF7C37" w14:textId="1128610A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CAC6B69">
                <v:shape id="_x0000_i1121" type="#_x0000_t75" style="width:15pt;height:21pt" o:ole="">
                  <v:imagedata r:id="rId8" o:title=""/>
                </v:shape>
                <w:control r:id="rId14" w:name="CheckBox121" w:shapeid="_x0000_i1121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94D295D" w14:textId="03DBC873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DA164A6">
                <v:shape id="_x0000_i1123" type="#_x0000_t75" style="width:15pt;height:21pt" o:ole="">
                  <v:imagedata r:id="rId8" o:title=""/>
                </v:shape>
                <w:control r:id="rId15" w:name="CheckBox131" w:shapeid="_x0000_i1123"/>
              </w:object>
            </w:r>
          </w:p>
        </w:tc>
      </w:tr>
      <w:tr w:rsidR="00A92659" w:rsidRPr="00A92659" w14:paraId="1481C39E" w14:textId="77777777" w:rsidTr="00ED36D0">
        <w:tc>
          <w:tcPr>
            <w:tcW w:w="365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7AE052A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1.4</w:t>
            </w:r>
          </w:p>
        </w:tc>
        <w:tc>
          <w:tcPr>
            <w:tcW w:w="2257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0AD02DB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Störung oder sonstiger IKT-Vorfall 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6F764C99" w14:textId="77777777" w:rsidR="00A92659" w:rsidRPr="00A92659" w:rsidRDefault="00A92659" w:rsidP="00AD6422">
            <w:pPr>
              <w:jc w:val="both"/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stellt </w:t>
            </w:r>
            <w:r w:rsidRPr="00A92659">
              <w:rPr>
                <w:b/>
                <w:bCs/>
                <w:sz w:val="18"/>
                <w:szCs w:val="18"/>
              </w:rPr>
              <w:t>keinen</w:t>
            </w:r>
            <w:r w:rsidRPr="00A92659">
              <w:rPr>
                <w:sz w:val="18"/>
                <w:szCs w:val="18"/>
              </w:rPr>
              <w:t xml:space="preserve"> Cyber-Angriff dar </w:t>
            </w:r>
            <w:r w:rsidRPr="00A92659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92659">
              <w:rPr>
                <w:sz w:val="18"/>
                <w:szCs w:val="18"/>
              </w:rPr>
              <w:t xml:space="preserve"> betrifft auch </w:t>
            </w:r>
            <w:r w:rsidRPr="00A92659">
              <w:rPr>
                <w:b/>
                <w:bCs/>
                <w:sz w:val="18"/>
                <w:szCs w:val="18"/>
              </w:rPr>
              <w:t xml:space="preserve">keine </w:t>
            </w:r>
          </w:p>
          <w:p w14:paraId="28656D3D" w14:textId="77777777" w:rsidR="00A92659" w:rsidRPr="00A92659" w:rsidRDefault="00A92659" w:rsidP="00AD6422">
            <w:pPr>
              <w:pStyle w:val="Listenabsatz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DE"/>
              </w:rPr>
            </w:pPr>
            <w:r w:rsidRPr="00A92659">
              <w:rPr>
                <w:sz w:val="18"/>
                <w:szCs w:val="18"/>
              </w:rPr>
              <w:t xml:space="preserve">IKT-Assets, die kritische oder wichtige Funktionen unterstützen, </w:t>
            </w:r>
          </w:p>
          <w:p w14:paraId="561C871D" w14:textId="77777777" w:rsidR="00A92659" w:rsidRPr="00A92659" w:rsidRDefault="00A92659" w:rsidP="00AD6422">
            <w:pPr>
              <w:pStyle w:val="Listenabsatz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DE"/>
              </w:rPr>
            </w:pPr>
            <w:r w:rsidRPr="00A92659">
              <w:rPr>
                <w:sz w:val="18"/>
                <w:szCs w:val="18"/>
              </w:rPr>
              <w:t xml:space="preserve">zulassungs- oder registrierungspflichtige Finanzdienstleistungen 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F784817" w14:textId="63C0D11C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39F1569">
                <v:shape id="_x0000_i1125" type="#_x0000_t75" style="width:15pt;height:21pt" o:ole="">
                  <v:imagedata r:id="rId8" o:title=""/>
                </v:shape>
                <w:control r:id="rId16" w:name="CheckBox122" w:shapeid="_x0000_i1125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4726B0D" w14:textId="288E39D3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9054692">
                <v:shape id="_x0000_i1127" type="#_x0000_t75" style="width:15pt;height:21pt" o:ole="">
                  <v:imagedata r:id="rId8" o:title=""/>
                </v:shape>
                <w:control r:id="rId17" w:name="CheckBox132" w:shapeid="_x0000_i1127"/>
              </w:object>
            </w:r>
          </w:p>
        </w:tc>
      </w:tr>
      <w:tr w:rsidR="00A92659" w:rsidRPr="00A92659" w14:paraId="420857D7" w14:textId="77777777" w:rsidTr="00ED36D0">
        <w:trPr>
          <w:trHeight w:val="40"/>
        </w:trPr>
        <w:tc>
          <w:tcPr>
            <w:tcW w:w="10763" w:type="dxa"/>
            <w:gridSpan w:val="5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13A3B78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2) Kunden, finanzielle Gegenparteien und Transaktionen</w:t>
            </w:r>
          </w:p>
        </w:tc>
      </w:tr>
      <w:tr w:rsidR="00A92659" w:rsidRPr="00A92659" w14:paraId="508F0ADF" w14:textId="77777777" w:rsidTr="00ED36D0">
        <w:tc>
          <w:tcPr>
            <w:tcW w:w="365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51EA680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2.1</w:t>
            </w:r>
          </w:p>
        </w:tc>
        <w:tc>
          <w:tcPr>
            <w:tcW w:w="2257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3E65CB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Kundenwirksamer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077F6E4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betrifft (wahrscheinlich) eine relevante Anzahl von Kunden des Unternehmens.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EB6BAE4" w14:textId="5FA94175" w:rsidR="00A92659" w:rsidRPr="00A92659" w:rsidRDefault="00A92659" w:rsidP="00AD6422">
            <w:pPr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1A711865">
                <v:shape id="_x0000_i1129" type="#_x0000_t75" style="width:15.75pt;height:12.75pt" o:ole="">
                  <v:imagedata r:id="rId18" o:title=""/>
                </v:shape>
                <w:control r:id="rId19" w:name="CheckBox2211" w:shapeid="_x0000_i1129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>10%</w:t>
            </w:r>
          </w:p>
          <w:p w14:paraId="032C848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 100.000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5DE54F17" w14:textId="2EF36FD6" w:rsidR="00A92659" w:rsidRPr="00A92659" w:rsidRDefault="00A92659" w:rsidP="00AD6422">
            <w:pPr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7FC1ADDC">
                <v:shape id="_x0000_i1131" type="#_x0000_t75" style="width:12pt;height:9.75pt" o:ole="">
                  <v:imagedata r:id="rId20" o:title=""/>
                </v:shape>
                <w:control r:id="rId21" w:name="CheckBox22111" w:shapeid="_x0000_i1131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&gt;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 xml:space="preserve"> 10%</w:t>
            </w:r>
          </w:p>
          <w:p w14:paraId="4117FE99" w14:textId="77777777" w:rsidR="00A92659" w:rsidRPr="00A92659" w:rsidRDefault="00A92659" w:rsidP="00AD6422">
            <w:pPr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&gt; 100.000</w:t>
            </w:r>
          </w:p>
        </w:tc>
      </w:tr>
      <w:tr w:rsidR="00A92659" w:rsidRPr="00A92659" w14:paraId="750D928A" w14:textId="77777777" w:rsidTr="00ED36D0">
        <w:tc>
          <w:tcPr>
            <w:tcW w:w="365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AA0FE4E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2.2</w:t>
            </w:r>
          </w:p>
        </w:tc>
        <w:tc>
          <w:tcPr>
            <w:tcW w:w="2257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D48C264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Vorfall mit Relevanz für finanzielle Gegenparteien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5B5637D0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betrifft (wahrscheinlich) eine relevante Anzahl von finanziellen Gegenparteien des Unternehmens.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5A81D54" w14:textId="3125A5A1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4437C297">
                <v:shape id="_x0000_i1133" type="#_x0000_t75" style="width:12pt;height:9.75pt" o:ole="">
                  <v:imagedata r:id="rId20" o:title=""/>
                </v:shape>
                <w:control r:id="rId22" w:name="CheckBox221" w:shapeid="_x0000_i1133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 xml:space="preserve"> 30% 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D79CF2B" w14:textId="6C88879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2A30E376">
                <v:shape id="_x0000_i1135" type="#_x0000_t75" style="width:12pt;height:9.75pt" o:ole="">
                  <v:imagedata r:id="rId20" o:title=""/>
                </v:shape>
                <w:control r:id="rId23" w:name="CheckBox2111" w:shapeid="_x0000_i1135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 xml:space="preserve">&gt; 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>30%</w:t>
            </w:r>
          </w:p>
        </w:tc>
      </w:tr>
      <w:tr w:rsidR="00A92659" w:rsidRPr="00A92659" w14:paraId="74F28570" w14:textId="77777777" w:rsidTr="00ED36D0">
        <w:tc>
          <w:tcPr>
            <w:tcW w:w="365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4BBA3F5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2.3</w:t>
            </w:r>
          </w:p>
        </w:tc>
        <w:tc>
          <w:tcPr>
            <w:tcW w:w="2257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4D8DB02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Transaktionswirksamer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4FAC2402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betrifft (wahrscheinlich), bezogen auf den täglichen Durchschnittswert, eine relevante Anzahl bzw. einen relevanten Wert von Transaktionen. 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9EE3805" w14:textId="5D09AAD1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30930015">
                <v:shape id="_x0000_i1137" type="#_x0000_t75" style="width:12pt;height:9.75pt" o:ole="">
                  <v:imagedata r:id="rId20" o:title=""/>
                </v:shape>
                <w:control r:id="rId24" w:name="CheckBox22" w:shapeid="_x0000_i1137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 xml:space="preserve"> 10% 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2E7E2BE" w14:textId="3372699A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1276F3C8">
                <v:shape id="_x0000_i1139" type="#_x0000_t75" style="width:12pt;height:9.75pt" o:ole="">
                  <v:imagedata r:id="rId20" o:title=""/>
                </v:shape>
                <w:control r:id="rId25" w:name="CheckBox211" w:shapeid="_x0000_i1139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 xml:space="preserve">&gt; 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>10%</w:t>
            </w:r>
          </w:p>
        </w:tc>
      </w:tr>
      <w:tr w:rsidR="00A92659" w:rsidRPr="00A92659" w14:paraId="5728EF02" w14:textId="77777777" w:rsidTr="00ED36D0">
        <w:tc>
          <w:tcPr>
            <w:tcW w:w="365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6F6018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2.4</w:t>
            </w:r>
          </w:p>
        </w:tc>
        <w:tc>
          <w:tcPr>
            <w:tcW w:w="2257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76A5DBA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Vorfall mit Auswirkung auf Geschäftsziele &amp; Effizienz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53E9862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betrifft (wahrscheinlich) bedeutende Kunden &amp; finanzielle Gegenparteien, die für Erreichung der Geschäftsziele oder Markteffizienz relevant sind.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40CCDF16" w14:textId="18A5F4CD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78730470">
                <v:shape id="_x0000_i1141" type="#_x0000_t75" style="width:12pt;height:9.75pt" o:ole="">
                  <v:imagedata r:id="rId20" o:title=""/>
                </v:shape>
                <w:control r:id="rId26" w:name="CheckBox222" w:shapeid="_x0000_i1141"/>
              </w:object>
            </w:r>
            <w:proofErr w:type="spellStart"/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nein</w:t>
            </w:r>
            <w:proofErr w:type="spellEnd"/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0E972311" w14:textId="01E9C891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6F7E3326">
                <v:shape id="_x0000_i1143" type="#_x0000_t75" style="width:12pt;height:9.75pt" o:ole="">
                  <v:imagedata r:id="rId20" o:title=""/>
                </v:shape>
                <w:control r:id="rId27" w:name="CheckBox2112" w:shapeid="_x0000_i1143"/>
              </w:object>
            </w:r>
            <w:proofErr w:type="spellStart"/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ja</w:t>
            </w:r>
            <w:proofErr w:type="spellEnd"/>
          </w:p>
        </w:tc>
      </w:tr>
      <w:tr w:rsidR="00A92659" w:rsidRPr="00A92659" w14:paraId="704D0E66" w14:textId="77777777" w:rsidTr="00ED36D0">
        <w:tc>
          <w:tcPr>
            <w:tcW w:w="8969" w:type="dxa"/>
            <w:gridSpan w:val="3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58660388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3) Reputationsschaden</w:t>
            </w:r>
          </w:p>
        </w:tc>
        <w:tc>
          <w:tcPr>
            <w:tcW w:w="89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5CA25025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Nein</w:t>
            </w:r>
          </w:p>
        </w:tc>
        <w:tc>
          <w:tcPr>
            <w:tcW w:w="89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59E9902E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Ja</w:t>
            </w:r>
          </w:p>
        </w:tc>
      </w:tr>
      <w:tr w:rsidR="00A92659" w:rsidRPr="00A92659" w14:paraId="344383B5" w14:textId="77777777" w:rsidTr="00ED36D0">
        <w:tc>
          <w:tcPr>
            <w:tcW w:w="365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572E4927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3.1</w:t>
            </w:r>
          </w:p>
        </w:tc>
        <w:tc>
          <w:tcPr>
            <w:tcW w:w="225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25B93EC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Medienwirksamer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4EAB0BF3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Über den Vorfall wird (wahrscheinlich) in den Medien berichtet.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2F63C14" w14:textId="40CEC882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577D1963">
                <v:shape id="_x0000_i1145" type="#_x0000_t75" style="width:15pt;height:21pt" o:ole="">
                  <v:imagedata r:id="rId8" o:title=""/>
                </v:shape>
                <w:control r:id="rId28" w:name="CheckBox127" w:shapeid="_x0000_i1145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0B6B73BB" w14:textId="57D45B5E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543CA0C">
                <v:shape id="_x0000_i1147" type="#_x0000_t75" style="width:15pt;height:21pt" o:ole="">
                  <v:imagedata r:id="rId8" o:title=""/>
                </v:shape>
                <w:control r:id="rId29" w:name="CheckBox137" w:shapeid="_x0000_i1147"/>
              </w:object>
            </w:r>
          </w:p>
        </w:tc>
      </w:tr>
      <w:tr w:rsidR="00A92659" w:rsidRPr="00A92659" w14:paraId="28E0C92B" w14:textId="77777777" w:rsidTr="00ED36D0">
        <w:tc>
          <w:tcPr>
            <w:tcW w:w="365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1D208821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3.2</w:t>
            </w:r>
          </w:p>
        </w:tc>
        <w:tc>
          <w:tcPr>
            <w:tcW w:w="225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04131782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Beschwerdewirksamer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6B798E92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führt (wahrscheinlich) zu wiederholten Beschwerden durch Kunden oder finanzielle Gegenparteien.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15F67A8" w14:textId="0FD57819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44AB1B74">
                <v:shape id="_x0000_i1149" type="#_x0000_t75" style="width:15pt;height:21pt" o:ole="">
                  <v:imagedata r:id="rId8" o:title=""/>
                </v:shape>
                <w:control r:id="rId30" w:name="CheckBox128" w:shapeid="_x0000_i1149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418722C" w14:textId="47BAA79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3491CF6">
                <v:shape id="_x0000_i1151" type="#_x0000_t75" style="width:15pt;height:21pt" o:ole="">
                  <v:imagedata r:id="rId8" o:title=""/>
                </v:shape>
                <w:control r:id="rId31" w:name="CheckBox138" w:shapeid="_x0000_i1151"/>
              </w:object>
            </w:r>
          </w:p>
        </w:tc>
      </w:tr>
      <w:tr w:rsidR="00A92659" w:rsidRPr="00A92659" w14:paraId="7DD40963" w14:textId="77777777" w:rsidTr="00ED36D0">
        <w:tc>
          <w:tcPr>
            <w:tcW w:w="365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52923F87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3.3</w:t>
            </w:r>
          </w:p>
        </w:tc>
        <w:tc>
          <w:tcPr>
            <w:tcW w:w="225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4F9BEDC4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Compliance-relevanter Vorfall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2BFD5C3C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ist (wahrscheinlich) mit einem Verstoß gegen regulatorische Vorgaben verbunden.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1C83015" w14:textId="6A638BB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56E8F1D1">
                <v:shape id="_x0000_i1153" type="#_x0000_t75" style="width:15pt;height:21pt" o:ole="">
                  <v:imagedata r:id="rId8" o:title=""/>
                </v:shape>
                <w:control r:id="rId32" w:name="CheckBox129" w:shapeid="_x0000_i1153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7E957A3" w14:textId="3A4A3A6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4191C0DB">
                <v:shape id="_x0000_i1155" type="#_x0000_t75" style="width:15pt;height:21pt" o:ole="">
                  <v:imagedata r:id="rId8" o:title=""/>
                </v:shape>
                <w:control r:id="rId33" w:name="CheckBox139" w:shapeid="_x0000_i1155"/>
              </w:object>
            </w:r>
          </w:p>
        </w:tc>
      </w:tr>
      <w:tr w:rsidR="00A92659" w:rsidRPr="00A92659" w14:paraId="26A46413" w14:textId="77777777" w:rsidTr="00ED36D0">
        <w:tc>
          <w:tcPr>
            <w:tcW w:w="365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4A7920D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3.4</w:t>
            </w:r>
          </w:p>
        </w:tc>
        <w:tc>
          <w:tcPr>
            <w:tcW w:w="2257" w:type="dxa"/>
            <w:shd w:val="clear" w:color="auto" w:fill="FFE07D"/>
            <w:tcMar>
              <w:left w:w="57" w:type="dxa"/>
              <w:right w:w="57" w:type="dxa"/>
            </w:tcMar>
            <w:vAlign w:val="center"/>
          </w:tcPr>
          <w:p w14:paraId="23EE888B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Vorfälle mit Auswirkung auf den Kundenbestand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10F8F033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Vorfall führt (wahrscheinlich) zu einem bedeutenden</w:t>
            </w:r>
            <w:r w:rsidRPr="00A92659">
              <w:rPr>
                <w:sz w:val="18"/>
                <w:szCs w:val="18"/>
                <w:u w:val="single"/>
              </w:rPr>
              <w:t xml:space="preserve"> </w:t>
            </w:r>
            <w:r w:rsidRPr="00A92659">
              <w:rPr>
                <w:sz w:val="18"/>
                <w:szCs w:val="18"/>
              </w:rPr>
              <w:t>Verlust von Kunden oder finanziellen Gegenparteien.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92394BE" w14:textId="5333A2EF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0FA07AE9">
                <v:shape id="_x0000_i1157" type="#_x0000_t75" style="width:15pt;height:21pt" o:ole="">
                  <v:imagedata r:id="rId8" o:title=""/>
                </v:shape>
                <w:control r:id="rId34" w:name="CheckBox1210" w:shapeid="_x0000_i1157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250E0A0D" w14:textId="08D155E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1A97FEF5">
                <v:shape id="_x0000_i1159" type="#_x0000_t75" style="width:15pt;height:21pt" o:ole="">
                  <v:imagedata r:id="rId8" o:title=""/>
                </v:shape>
                <w:control r:id="rId35" w:name="CheckBox1310" w:shapeid="_x0000_i1159"/>
              </w:object>
            </w:r>
          </w:p>
        </w:tc>
      </w:tr>
      <w:tr w:rsidR="00A92659" w:rsidRPr="00A92659" w14:paraId="117DC33F" w14:textId="77777777" w:rsidTr="00ED36D0">
        <w:trPr>
          <w:trHeight w:val="40"/>
        </w:trPr>
        <w:tc>
          <w:tcPr>
            <w:tcW w:w="10763" w:type="dxa"/>
            <w:gridSpan w:val="5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14:paraId="0B9FEE18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4) Dauer und Ausfallzeiten</w:t>
            </w:r>
          </w:p>
        </w:tc>
      </w:tr>
      <w:tr w:rsidR="00A92659" w:rsidRPr="00A92659" w14:paraId="0600385F" w14:textId="77777777" w:rsidTr="00ED36D0">
        <w:trPr>
          <w:trHeight w:val="412"/>
        </w:trPr>
        <w:tc>
          <w:tcPr>
            <w:tcW w:w="365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14:paraId="20B80807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4.1</w:t>
            </w:r>
          </w:p>
        </w:tc>
        <w:tc>
          <w:tcPr>
            <w:tcW w:w="225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14:paraId="4F18BA9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24h+ Vorfälle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02BB796B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dauert (wahrscheinlich) mehr als 24 Stunden.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D2DBEAE" w14:textId="716A4059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541CCD53">
                <v:shape id="_x0000_i1161" type="#_x0000_t75" style="width:12pt;height:9.75pt" o:ole="">
                  <v:imagedata r:id="rId20" o:title=""/>
                </v:shape>
                <w:control r:id="rId36" w:name="CheckBox2" w:shapeid="_x0000_i1161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 xml:space="preserve"> 24 h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0EF91DFD" w14:textId="7AA0BEEE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6FFDDE90">
                <v:shape id="_x0000_i1163" type="#_x0000_t75" style="width:12pt;height:9.75pt" o:ole="">
                  <v:imagedata r:id="rId20" o:title=""/>
                </v:shape>
                <w:control r:id="rId37" w:name="CheckBox21" w:shapeid="_x0000_i1163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 xml:space="preserve">&gt; 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>24 h</w:t>
            </w:r>
          </w:p>
        </w:tc>
      </w:tr>
      <w:tr w:rsidR="00A92659" w:rsidRPr="00A92659" w14:paraId="19ED3CDB" w14:textId="77777777" w:rsidTr="00ED36D0">
        <w:tc>
          <w:tcPr>
            <w:tcW w:w="365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14:paraId="517F5699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4.2</w:t>
            </w:r>
          </w:p>
        </w:tc>
        <w:tc>
          <w:tcPr>
            <w:tcW w:w="225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14:paraId="1D2A0D5E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KWF-relevante IKT-Ausfälle 2h+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714F8432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betrifft IKT-Assets, die kritische oder wichtige Funktionen unterstützen und dauert (wahrscheinlich) mehr als 2 Stunden.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28F6316" w14:textId="0D85327E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79502C5A">
                <v:shape id="_x0000_i1165" type="#_x0000_t75" style="width:12pt;height:9.75pt" o:ole="">
                  <v:imagedata r:id="rId20" o:title=""/>
                </v:shape>
                <w:control r:id="rId38" w:name="CheckBox23" w:shapeid="_x0000_i1165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 xml:space="preserve"> 2 h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21D8EC48" w14:textId="2E255AD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13C26438">
                <v:shape id="_x0000_i1167" type="#_x0000_t75" style="width:12pt;height:9.75pt" o:ole="">
                  <v:imagedata r:id="rId20" o:title=""/>
                </v:shape>
                <w:control r:id="rId39" w:name="CheckBox212" w:shapeid="_x0000_i1167"/>
              </w:objec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 xml:space="preserve">&gt; </w:t>
            </w: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  <w:t>2 h</w:t>
            </w:r>
          </w:p>
        </w:tc>
      </w:tr>
      <w:tr w:rsidR="00A92659" w:rsidRPr="00A92659" w14:paraId="0F74B6D3" w14:textId="77777777" w:rsidTr="00ED36D0">
        <w:tc>
          <w:tcPr>
            <w:tcW w:w="8969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4467F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5) Geografische Ausbreitung</w:t>
            </w:r>
          </w:p>
        </w:tc>
        <w:tc>
          <w:tcPr>
            <w:tcW w:w="8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55305F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Nein</w:t>
            </w:r>
          </w:p>
        </w:tc>
        <w:tc>
          <w:tcPr>
            <w:tcW w:w="8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2D647B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Ja</w:t>
            </w:r>
          </w:p>
        </w:tc>
      </w:tr>
      <w:tr w:rsidR="00A92659" w:rsidRPr="00A92659" w14:paraId="4874A78C" w14:textId="77777777" w:rsidTr="00ED36D0">
        <w:tc>
          <w:tcPr>
            <w:tcW w:w="3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9684F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5.1</w:t>
            </w:r>
          </w:p>
        </w:tc>
        <w:tc>
          <w:tcPr>
            <w:tcW w:w="22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778FB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Kunden &amp; Partner in Mitgliedstaaten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0DD0F164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hat (wahrscheinlich) Auswirkungen auf Kunden und finanzielle Gegenparteien in anderen Mitgliedstaaten.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23C94C9E" w14:textId="203B3C6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238B84FF">
                <v:shape id="_x0000_i1169" type="#_x0000_t75" style="width:15pt;height:21pt" o:ole="">
                  <v:imagedata r:id="rId8" o:title=""/>
                </v:shape>
                <w:control r:id="rId40" w:name="CheckBox1213" w:shapeid="_x0000_i1169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7C8D0137" w14:textId="761740B1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3A79FD82">
                <v:shape id="_x0000_i1171" type="#_x0000_t75" style="width:15pt;height:21pt" o:ole="">
                  <v:imagedata r:id="rId8" o:title=""/>
                </v:shape>
                <w:control r:id="rId41" w:name="CheckBox1313" w:shapeid="_x0000_i1171"/>
              </w:object>
            </w:r>
          </w:p>
        </w:tc>
      </w:tr>
      <w:tr w:rsidR="00A92659" w:rsidRPr="00A92659" w14:paraId="65173952" w14:textId="77777777" w:rsidTr="00ED36D0">
        <w:tc>
          <w:tcPr>
            <w:tcW w:w="3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4C7668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5.2</w:t>
            </w:r>
          </w:p>
        </w:tc>
        <w:tc>
          <w:tcPr>
            <w:tcW w:w="22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6757B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Niederlassungen oder Gruppenunternehmen in 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159DACFA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hat (wahrscheinlich) Auswirkungen auf Zweigniederlassungen oder Finanzunternehmen innerhalb der, die in anderen Mitgliedstaaten tätig sind.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5D01B8F4" w14:textId="1C9EBE15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4FF3A04">
                <v:shape id="_x0000_i1173" type="#_x0000_t75" style="width:15pt;height:21pt" o:ole="">
                  <v:imagedata r:id="rId8" o:title=""/>
                </v:shape>
                <w:control r:id="rId42" w:name="CheckBox1214" w:shapeid="_x0000_i1173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26214315" w14:textId="27814D00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7E61AAD4">
                <v:shape id="_x0000_i1175" type="#_x0000_t75" style="width:15pt;height:21pt" o:ole="">
                  <v:imagedata r:id="rId8" o:title=""/>
                </v:shape>
                <w:control r:id="rId43" w:name="CheckBox1314" w:shapeid="_x0000_i1175"/>
              </w:object>
            </w:r>
          </w:p>
        </w:tc>
      </w:tr>
      <w:tr w:rsidR="00A92659" w:rsidRPr="00A92659" w14:paraId="0731BDA0" w14:textId="77777777" w:rsidTr="00ED36D0">
        <w:tc>
          <w:tcPr>
            <w:tcW w:w="3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FEDD93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5.3</w:t>
            </w:r>
          </w:p>
        </w:tc>
        <w:tc>
          <w:tcPr>
            <w:tcW w:w="22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8721A0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Finanzmarktinfrastrukturen oder Drittdienstleister 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6D21CD11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hat (wahrscheinlich) Auswirkungen auf Finanzmarktinfrastrukturen oder Drittdienstleister, die in anderen Mitgliedstaaten tätig sind.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44C4EC21" w14:textId="37AAA336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03E37F21">
                <v:shape id="_x0000_i1177" type="#_x0000_t75" style="width:15pt;height:21pt" o:ole="">
                  <v:imagedata r:id="rId8" o:title=""/>
                </v:shape>
                <w:control r:id="rId44" w:name="CheckBox1215" w:shapeid="_x0000_i1177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51A377A4" w14:textId="6E7A65B8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4990CF0F">
                <v:shape id="_x0000_i1179" type="#_x0000_t75" style="width:15pt;height:21pt" o:ole="">
                  <v:imagedata r:id="rId8" o:title=""/>
                </v:shape>
                <w:control r:id="rId45" w:name="CheckBox1315" w:shapeid="_x0000_i1179"/>
              </w:object>
            </w:r>
          </w:p>
        </w:tc>
      </w:tr>
      <w:tr w:rsidR="00A92659" w:rsidRPr="00A92659" w14:paraId="194FF07B" w14:textId="77777777" w:rsidTr="00ED36D0">
        <w:tc>
          <w:tcPr>
            <w:tcW w:w="8969" w:type="dxa"/>
            <w:gridSpan w:val="3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1A445DF2" w14:textId="482FD748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6) Verluste von Daten</w:t>
            </w:r>
            <w:r w:rsidR="00863899">
              <w:rPr>
                <w:rStyle w:val="Funotenzeiche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89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BD4D6F1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Nein</w:t>
            </w:r>
          </w:p>
        </w:tc>
        <w:tc>
          <w:tcPr>
            <w:tcW w:w="89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3F46C713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Ja</w:t>
            </w:r>
          </w:p>
        </w:tc>
      </w:tr>
      <w:tr w:rsidR="00A92659" w:rsidRPr="00A92659" w14:paraId="452A5476" w14:textId="77777777" w:rsidTr="00ED36D0">
        <w:tc>
          <w:tcPr>
            <w:tcW w:w="365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2AC96A96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6.1</w:t>
            </w:r>
          </w:p>
        </w:tc>
        <w:tc>
          <w:tcPr>
            <w:tcW w:w="225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C0AD669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Auswirkung auf Verfügbarkeit von Daten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16D02C6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verursacht (wahrscheinlich), dass benötigte Daten vorübergehend oder dauerhaft unzugänglich sind </w:t>
            </w:r>
            <w:r w:rsidRPr="00A92659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92659">
              <w:rPr>
                <w:sz w:val="18"/>
                <w:szCs w:val="18"/>
              </w:rPr>
              <w:t xml:space="preserve"> dies negative Auswirkungen hat.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4B450081" w14:textId="44036EAF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53644385">
                <v:shape id="_x0000_i1181" type="#_x0000_t75" style="width:15pt;height:21pt" o:ole="">
                  <v:imagedata r:id="rId8" o:title=""/>
                </v:shape>
                <w:control r:id="rId46" w:name="CheckBox1216" w:shapeid="_x0000_i1181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1312377" w14:textId="75BA9FAF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487F33B0">
                <v:shape id="_x0000_i1183" type="#_x0000_t75" style="width:15pt;height:21pt" o:ole="">
                  <v:imagedata r:id="rId8" o:title=""/>
                </v:shape>
                <w:control r:id="rId47" w:name="CheckBox1316" w:shapeid="_x0000_i1183"/>
              </w:object>
            </w:r>
          </w:p>
        </w:tc>
      </w:tr>
      <w:tr w:rsidR="00A92659" w:rsidRPr="00A92659" w14:paraId="43333BB5" w14:textId="77777777" w:rsidTr="00ED36D0">
        <w:tc>
          <w:tcPr>
            <w:tcW w:w="365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3F7109B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6.2</w:t>
            </w:r>
          </w:p>
        </w:tc>
        <w:tc>
          <w:tcPr>
            <w:tcW w:w="225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3844C6B4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Auswirkung auf Vertraulichkeit von Daten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4187AA4D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verursacht (wahrscheinlich), dass Unbefugte Zugang zu oder Kenntnis von Daten erhalten </w:t>
            </w:r>
            <w:r w:rsidRPr="00A92659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92659">
              <w:rPr>
                <w:b/>
                <w:bCs/>
                <w:sz w:val="18"/>
                <w:szCs w:val="18"/>
              </w:rPr>
              <w:t xml:space="preserve"> </w:t>
            </w:r>
            <w:r w:rsidRPr="00A92659">
              <w:rPr>
                <w:sz w:val="18"/>
                <w:szCs w:val="18"/>
              </w:rPr>
              <w:t>dies negative Auswirkungen hat.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0C9D2DAF" w14:textId="6A1C9439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52EEAFC4">
                <v:shape id="_x0000_i1185" type="#_x0000_t75" style="width:15pt;height:21pt" o:ole="">
                  <v:imagedata r:id="rId8" o:title=""/>
                </v:shape>
                <w:control r:id="rId48" w:name="CheckBox1217" w:shapeid="_x0000_i1185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04EE40A9" w14:textId="61B4C2FC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29D9E153">
                <v:shape id="_x0000_i1187" type="#_x0000_t75" style="width:15pt;height:21pt" o:ole="">
                  <v:imagedata r:id="rId8" o:title=""/>
                </v:shape>
                <w:control r:id="rId49" w:name="CheckBox1317" w:shapeid="_x0000_i1187"/>
              </w:object>
            </w:r>
          </w:p>
        </w:tc>
      </w:tr>
      <w:tr w:rsidR="00A92659" w:rsidRPr="00A92659" w14:paraId="49EA8945" w14:textId="77777777" w:rsidTr="00ED36D0">
        <w:tc>
          <w:tcPr>
            <w:tcW w:w="365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1F865DF5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6.3</w:t>
            </w:r>
          </w:p>
        </w:tc>
        <w:tc>
          <w:tcPr>
            <w:tcW w:w="225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0CF3342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Auswirkung auf Integrität von Daten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27EE27BF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hat (wahrscheinlich) zu einer nicht autorisierten Veränderung der Daten geführt </w:t>
            </w:r>
            <w:r w:rsidRPr="00A92659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92659">
              <w:rPr>
                <w:sz w:val="18"/>
                <w:szCs w:val="18"/>
              </w:rPr>
              <w:t xml:space="preserve"> ist mit negativen Auswirkungen verbunden.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767789C6" w14:textId="5821011A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26A5EEF1">
                <v:shape id="_x0000_i1189" type="#_x0000_t75" style="width:15pt;height:21pt" o:ole="">
                  <v:imagedata r:id="rId8" o:title=""/>
                </v:shape>
                <w:control r:id="rId50" w:name="CheckBox1218" w:shapeid="_x0000_i1189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2ED6FE5" w14:textId="37C07D7E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46CC5975">
                <v:shape id="_x0000_i1191" type="#_x0000_t75" style="width:15pt;height:21pt" o:ole="">
                  <v:imagedata r:id="rId8" o:title=""/>
                </v:shape>
                <w:control r:id="rId51" w:name="CheckBox1318" w:shapeid="_x0000_i1191"/>
              </w:object>
            </w:r>
          </w:p>
        </w:tc>
      </w:tr>
      <w:tr w:rsidR="00A92659" w:rsidRPr="00A92659" w14:paraId="62706E32" w14:textId="77777777" w:rsidTr="00ED36D0">
        <w:tc>
          <w:tcPr>
            <w:tcW w:w="365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5A0F72E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6.4</w:t>
            </w:r>
          </w:p>
        </w:tc>
        <w:tc>
          <w:tcPr>
            <w:tcW w:w="225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B3774C1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Auswirkung auf Authentizität von Daten</w:t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2986F02C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 xml:space="preserve">Der Vorfall hat (wahrscheinlich) die Vertrauenswürdigkeit der Datenquelle kompromittiert </w:t>
            </w:r>
            <w:r w:rsidRPr="00A92659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A92659">
              <w:rPr>
                <w:sz w:val="18"/>
                <w:szCs w:val="18"/>
              </w:rPr>
              <w:t xml:space="preserve"> ist mit negativen Auswirkungen verbunden.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38B89C94" w14:textId="2E2810F4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2890C967">
                <v:shape id="_x0000_i1193" type="#_x0000_t75" style="width:15pt;height:21pt" o:ole="">
                  <v:imagedata r:id="rId8" o:title=""/>
                </v:shape>
                <w:control r:id="rId52" w:name="CheckBox1219" w:shapeid="_x0000_i1193"/>
              </w:objec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1D5BB661" w14:textId="5EC90F3C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object w:dxaOrig="1440" w:dyaOrig="1440" w14:anchorId="558B3D79">
                <v:shape id="_x0000_i1195" type="#_x0000_t75" style="width:15pt;height:21pt" o:ole="">
                  <v:imagedata r:id="rId8" o:title=""/>
                </v:shape>
                <w:control r:id="rId53" w:name="CheckBox1319" w:shapeid="_x0000_i1195"/>
              </w:object>
            </w:r>
          </w:p>
        </w:tc>
      </w:tr>
      <w:tr w:rsidR="00A92659" w:rsidRPr="00A92659" w14:paraId="4848BB0A" w14:textId="77777777" w:rsidTr="00ED36D0">
        <w:tc>
          <w:tcPr>
            <w:tcW w:w="365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E404E88" w14:textId="77777777" w:rsidR="00A92659" w:rsidRPr="00A92659" w:rsidRDefault="00A92659" w:rsidP="00AD6422">
            <w:pPr>
              <w:rPr>
                <w:i/>
                <w:iCs/>
                <w:sz w:val="18"/>
                <w:szCs w:val="18"/>
              </w:rPr>
            </w:pPr>
            <w:r w:rsidRPr="00A92659">
              <w:rPr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2257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54116D21" w14:textId="77777777" w:rsidR="00A92659" w:rsidRPr="00A92659" w:rsidRDefault="00A92659" w:rsidP="00AD6422">
            <w:pPr>
              <w:rPr>
                <w:i/>
                <w:iCs/>
                <w:sz w:val="18"/>
                <w:szCs w:val="18"/>
              </w:rPr>
            </w:pPr>
            <w:r w:rsidRPr="00A92659">
              <w:rPr>
                <w:i/>
                <w:iCs/>
                <w:sz w:val="18"/>
                <w:szCs w:val="18"/>
              </w:rPr>
              <w:t>Cybersicherheits-Angriff</w:t>
            </w:r>
          </w:p>
        </w:tc>
        <w:tc>
          <w:tcPr>
            <w:tcW w:w="8141" w:type="dxa"/>
            <w:gridSpan w:val="3"/>
            <w:tcMar>
              <w:left w:w="57" w:type="dxa"/>
              <w:right w:w="57" w:type="dxa"/>
            </w:tcMar>
            <w:vAlign w:val="center"/>
          </w:tcPr>
          <w:p w14:paraId="3B946DE5" w14:textId="77777777" w:rsidR="00A92659" w:rsidRPr="00A92659" w:rsidRDefault="00A92659" w:rsidP="00AD6422">
            <w:pPr>
              <w:rPr>
                <w:i/>
                <w:iCs/>
                <w:sz w:val="18"/>
                <w:szCs w:val="18"/>
              </w:rPr>
            </w:pPr>
            <w:r w:rsidRPr="00A92659">
              <w:rPr>
                <w:i/>
                <w:iCs/>
                <w:sz w:val="18"/>
                <w:szCs w:val="18"/>
              </w:rPr>
              <w:t>Siehe Punkt 1.3.</w:t>
            </w:r>
          </w:p>
        </w:tc>
      </w:tr>
      <w:tr w:rsidR="00A92659" w:rsidRPr="00A92659" w14:paraId="08A6BC47" w14:textId="77777777" w:rsidTr="00ED36D0">
        <w:tc>
          <w:tcPr>
            <w:tcW w:w="10763" w:type="dxa"/>
            <w:gridSpan w:val="5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293C4819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b/>
                <w:bCs/>
                <w:sz w:val="18"/>
                <w:szCs w:val="18"/>
              </w:rPr>
              <w:t>7) Wirtschaftliche Auswirkungen</w:t>
            </w:r>
          </w:p>
        </w:tc>
      </w:tr>
      <w:tr w:rsidR="00A92659" w:rsidRPr="00A92659" w14:paraId="19A3D45D" w14:textId="77777777" w:rsidTr="00ED36D0">
        <w:trPr>
          <w:trHeight w:val="346"/>
        </w:trPr>
        <w:tc>
          <w:tcPr>
            <w:tcW w:w="36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7F91B76C" w14:textId="77777777" w:rsidR="00A92659" w:rsidRPr="00A92659" w:rsidRDefault="00A92659" w:rsidP="00AD6422">
            <w:pPr>
              <w:rPr>
                <w:i/>
                <w:iCs/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7.1</w:t>
            </w:r>
          </w:p>
        </w:tc>
        <w:tc>
          <w:tcPr>
            <w:tcW w:w="2257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14369CF4" w14:textId="77777777" w:rsidR="00A92659" w:rsidRPr="00A92659" w:rsidRDefault="00A92659" w:rsidP="00AD642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Vorfälle mit wirtschaftlichen Auswirkungen</w:t>
            </w:r>
            <w:r w:rsidRPr="00A92659">
              <w:rPr>
                <w:rStyle w:val="Funotenzeichen"/>
                <w:sz w:val="18"/>
                <w:szCs w:val="18"/>
              </w:rPr>
              <w:footnoteReference w:id="2"/>
            </w:r>
          </w:p>
        </w:tc>
        <w:tc>
          <w:tcPr>
            <w:tcW w:w="6347" w:type="dxa"/>
            <w:tcMar>
              <w:left w:w="57" w:type="dxa"/>
              <w:right w:w="57" w:type="dxa"/>
            </w:tcMar>
            <w:vAlign w:val="center"/>
          </w:tcPr>
          <w:p w14:paraId="0E2FF3B7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sz w:val="18"/>
                <w:szCs w:val="18"/>
              </w:rPr>
              <w:t>Der Vorfall verursacht (wahrscheinlich) spürbare Kosten und Verluste für das Finanzunternehmen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60A57A5C" w14:textId="33D6085C" w:rsidR="00A92659" w:rsidRPr="00A92659" w:rsidRDefault="00A92659" w:rsidP="00AD6422">
            <w:pPr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59C2289E">
                <v:shape id="_x0000_i1197" type="#_x0000_t75" style="width:12pt;height:9.75pt" o:ole="">
                  <v:imagedata r:id="rId20" o:title=""/>
                </v:shape>
                <w:control r:id="rId54" w:name="CheckBox22112" w:shapeid="_x0000_i1197"/>
              </w:object>
            </w:r>
          </w:p>
          <w:p w14:paraId="4754152E" w14:textId="77777777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≤ 100 T€</w:t>
            </w:r>
          </w:p>
        </w:tc>
        <w:tc>
          <w:tcPr>
            <w:tcW w:w="897" w:type="dxa"/>
            <w:tcMar>
              <w:left w:w="57" w:type="dxa"/>
              <w:right w:w="57" w:type="dxa"/>
            </w:tcMar>
            <w:vAlign w:val="center"/>
          </w:tcPr>
          <w:p w14:paraId="7FBD65EA" w14:textId="7DF859DC" w:rsidR="00A92659" w:rsidRPr="00A92659" w:rsidRDefault="00A92659" w:rsidP="00AD6422">
            <w:pPr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object w:dxaOrig="1440" w:dyaOrig="1440" w14:anchorId="089D1130">
                <v:shape id="_x0000_i1199" type="#_x0000_t75" style="width:12pt;height:9.75pt" o:ole="">
                  <v:imagedata r:id="rId20" o:title=""/>
                </v:shape>
                <w:control r:id="rId55" w:name="CheckBox221111" w:shapeid="_x0000_i1199"/>
              </w:object>
            </w:r>
          </w:p>
          <w:p w14:paraId="1FFBCAE7" w14:textId="2C78E91B" w:rsidR="00A92659" w:rsidRPr="00A92659" w:rsidRDefault="00A92659" w:rsidP="00AD6422">
            <w:pPr>
              <w:rPr>
                <w:sz w:val="18"/>
                <w:szCs w:val="18"/>
              </w:rPr>
            </w:pPr>
            <w:r w:rsidRPr="00A92659">
              <w:rPr>
                <w:rFonts w:ascii="Aptos Display" w:eastAsia="+mn-ea" w:hAnsi="Aptos Display" w:cs="+mn-cs"/>
                <w:color w:val="000000"/>
                <w:kern w:val="24"/>
                <w:sz w:val="18"/>
                <w:szCs w:val="18"/>
                <w:lang w:val="en-DE"/>
              </w:rPr>
              <w:t>&gt; 100 T€</w:t>
            </w:r>
          </w:p>
        </w:tc>
      </w:tr>
    </w:tbl>
    <w:p w14:paraId="2B46EB40" w14:textId="77777777" w:rsidR="001F76E5" w:rsidRDefault="000476FD" w:rsidP="000476FD">
      <w:pPr>
        <w:pStyle w:val="Kopfzeile"/>
        <w:jc w:val="center"/>
        <w:rPr>
          <w:rStyle w:val="Buchtitel"/>
          <w:b w:val="0"/>
          <w:bCs w:val="0"/>
          <w:sz w:val="28"/>
          <w:szCs w:val="28"/>
        </w:rPr>
      </w:pPr>
      <w:r w:rsidRPr="001F76E5">
        <w:rPr>
          <w:rStyle w:val="Buchtitel"/>
          <w:b w:val="0"/>
          <w:bCs w:val="0"/>
          <w:sz w:val="28"/>
          <w:szCs w:val="28"/>
        </w:rPr>
        <w:lastRenderedPageBreak/>
        <w:t xml:space="preserve">Ermittlung der „schwerwiegenden IKT-bezogenen Vorfälle“ </w:t>
      </w:r>
    </w:p>
    <w:p w14:paraId="1D1BB41D" w14:textId="784C8994" w:rsidR="00C077D7" w:rsidRPr="001F76E5" w:rsidRDefault="000476FD" w:rsidP="000476FD">
      <w:pPr>
        <w:pStyle w:val="Kopfzeile"/>
        <w:jc w:val="center"/>
        <w:rPr>
          <w:rStyle w:val="Buchtitel"/>
          <w:b w:val="0"/>
          <w:bCs w:val="0"/>
          <w:sz w:val="28"/>
          <w:szCs w:val="28"/>
        </w:rPr>
      </w:pPr>
      <w:r w:rsidRPr="001F76E5">
        <w:rPr>
          <w:rStyle w:val="Buchtitel"/>
          <w:b w:val="0"/>
          <w:bCs w:val="0"/>
          <w:sz w:val="28"/>
          <w:szCs w:val="28"/>
        </w:rPr>
        <w:t>gemäß Artikel 19 (1) DORA-VO</w:t>
      </w:r>
    </w:p>
    <w:p w14:paraId="6C8F7C92" w14:textId="77777777" w:rsidR="000476FD" w:rsidRPr="001F76E5" w:rsidRDefault="000476FD" w:rsidP="00C077D7">
      <w:pPr>
        <w:jc w:val="both"/>
        <w:rPr>
          <w:b/>
          <w:bCs/>
          <w:color w:val="FF0000"/>
        </w:rPr>
      </w:pPr>
    </w:p>
    <w:p w14:paraId="135CA611" w14:textId="25463B08" w:rsidR="000476FD" w:rsidRPr="001F76E5" w:rsidRDefault="000476FD" w:rsidP="000476FD">
      <w:r w:rsidRPr="001F76E5">
        <w:t xml:space="preserve">Zur Ermittlung der </w:t>
      </w:r>
      <w:r w:rsidR="001F76E5" w:rsidRPr="001F76E5">
        <w:t>m</w:t>
      </w:r>
      <w:r w:rsidRPr="001F76E5">
        <w:t xml:space="preserve">eldepflichtigen Vorfälle sind auf Basis der </w:t>
      </w:r>
      <w:proofErr w:type="spellStart"/>
      <w:r w:rsidRPr="001F76E5">
        <w:t>Vorfallsklassifikation</w:t>
      </w:r>
      <w:proofErr w:type="spellEnd"/>
      <w:r w:rsidRPr="001F76E5">
        <w:t xml:space="preserve"> die „schwerwiegenden IKT-bezogenen Vorfälle“ zu </w:t>
      </w:r>
      <w:r w:rsidR="00166B64">
        <w:t>bestimmen</w:t>
      </w:r>
      <w:r w:rsidRPr="001F76E5">
        <w:t>.  Die detaillierten Vorgaben dazu finden sich im RTS zur Klassifizierung von IKT-bezogenen Vorfällen (</w:t>
      </w:r>
      <w:hyperlink r:id="rId56" w:history="1">
        <w:r w:rsidRPr="001F76E5">
          <w:rPr>
            <w:rStyle w:val="Hyperlink"/>
          </w:rPr>
          <w:t>DELEGIERTE VERORDNUNG (EU) 2024/1772 DER KOMMISSION</w:t>
        </w:r>
      </w:hyperlink>
      <w:r w:rsidRPr="001F76E5">
        <w:t>)</w:t>
      </w:r>
      <w:r w:rsidR="00166B64">
        <w:t>.</w:t>
      </w:r>
    </w:p>
    <w:p w14:paraId="407185EA" w14:textId="1E52EE9C" w:rsidR="00166B64" w:rsidRDefault="001F76E5" w:rsidP="00166B64">
      <w:r w:rsidRPr="001F76E5">
        <w:t>Poten</w:t>
      </w:r>
      <w:r w:rsidR="00166B64">
        <w:t>z</w:t>
      </w:r>
      <w:r w:rsidRPr="001F76E5">
        <w:t>iell meldepflichtig sind alle IKT-bezogenen Vorfälle, die das</w:t>
      </w:r>
      <w:r w:rsidR="00166B64">
        <w:t xml:space="preserve"> Primär-</w:t>
      </w:r>
      <w:r w:rsidRPr="001F76E5">
        <w:t>Kriterium „</w:t>
      </w:r>
      <w:r w:rsidRPr="00166B64">
        <w:rPr>
          <w:b/>
          <w:bCs/>
        </w:rPr>
        <w:t>Kritikalität der betroffenen Dienste</w:t>
      </w:r>
      <w:r w:rsidRPr="001F76E5">
        <w:t xml:space="preserve">“ erfüllen. </w:t>
      </w:r>
      <w:r w:rsidR="00166B64">
        <w:t>Die Meldepflicht ist an folgende konkretisierende Bestimmungen gekoppelt:</w:t>
      </w:r>
    </w:p>
    <w:p w14:paraId="35A96970" w14:textId="7D1F2AEF" w:rsidR="00166B64" w:rsidRDefault="001F76E5" w:rsidP="00166B64">
      <w:pPr>
        <w:pStyle w:val="Listenabsatz"/>
        <w:numPr>
          <w:ilvl w:val="0"/>
          <w:numId w:val="5"/>
        </w:numPr>
      </w:pPr>
      <w:r w:rsidRPr="001F76E5">
        <w:rPr>
          <w:b/>
          <w:bCs/>
        </w:rPr>
        <w:t>Cybersicherheits-Angriffe</w:t>
      </w:r>
      <w:r>
        <w:rPr>
          <w:b/>
          <w:bCs/>
        </w:rPr>
        <w:t xml:space="preserve">: </w:t>
      </w:r>
      <w:r w:rsidRPr="001F76E5">
        <w:t>Vorfälle</w:t>
      </w:r>
      <w:r>
        <w:t xml:space="preserve">, die gemäß </w:t>
      </w:r>
      <w:r w:rsidRPr="001F76E5">
        <w:t>Artikel 6</w:t>
      </w:r>
      <w:r w:rsidR="00166B64">
        <w:t xml:space="preserve"> (c) </w:t>
      </w:r>
      <w:r>
        <w:t xml:space="preserve">des </w:t>
      </w:r>
      <w:r w:rsidRPr="001F76E5">
        <w:t xml:space="preserve">RTS </w:t>
      </w:r>
      <w:r>
        <w:t>einen „</w:t>
      </w:r>
      <w:r w:rsidRPr="001F76E5">
        <w:t>erfolgreichen, böswilligen und unbefugten Zugriff auf die Netzwerk- und Informationssysteme des Finanzunternehmens</w:t>
      </w:r>
      <w:r>
        <w:t xml:space="preserve">“ darstellen und damit </w:t>
      </w:r>
      <w:r w:rsidR="00166B64">
        <w:t xml:space="preserve">das Kriterium </w:t>
      </w:r>
      <w:r w:rsidR="00166B64" w:rsidRPr="00166B64">
        <w:t>„Kritikalität der betroffenen Dienste“ erfüllen</w:t>
      </w:r>
      <w:r w:rsidR="00166B64">
        <w:t xml:space="preserve">, </w:t>
      </w:r>
      <w:r w:rsidRPr="001F76E5">
        <w:t xml:space="preserve">gelten </w:t>
      </w:r>
      <w:r w:rsidRPr="001F76E5">
        <w:rPr>
          <w:u w:val="single"/>
        </w:rPr>
        <w:t>unmittelbar</w:t>
      </w:r>
      <w:r w:rsidRPr="001F76E5">
        <w:t xml:space="preserve"> als </w:t>
      </w:r>
      <w:r w:rsidR="0064249B">
        <w:t xml:space="preserve">meldepflichtige </w:t>
      </w:r>
      <w:r w:rsidRPr="001F76E5">
        <w:t xml:space="preserve">„schwerwiegende IKT-bezogene Vorfälle“, unabhängig von der Bewertung der sekundären </w:t>
      </w:r>
      <w:proofErr w:type="spellStart"/>
      <w:r w:rsidRPr="001F76E5">
        <w:t>Vorfallskriterien</w:t>
      </w:r>
      <w:proofErr w:type="spellEnd"/>
      <w:r w:rsidR="0064249B">
        <w:t xml:space="preserve">. </w:t>
      </w:r>
    </w:p>
    <w:p w14:paraId="3F3EC7E7" w14:textId="77777777" w:rsidR="00166B64" w:rsidRPr="00166B64" w:rsidRDefault="00166B64" w:rsidP="00166B64">
      <w:pPr>
        <w:pStyle w:val="Listenabsatz"/>
        <w:rPr>
          <w:b/>
          <w:bCs/>
        </w:rPr>
      </w:pPr>
    </w:p>
    <w:p w14:paraId="284DE363" w14:textId="2E535022" w:rsidR="001F76E5" w:rsidRPr="00166B64" w:rsidRDefault="001F76E5" w:rsidP="00166B64">
      <w:pPr>
        <w:pStyle w:val="Listenabsatz"/>
        <w:numPr>
          <w:ilvl w:val="0"/>
          <w:numId w:val="5"/>
        </w:numPr>
      </w:pPr>
      <w:r w:rsidRPr="00166B64">
        <w:rPr>
          <w:b/>
          <w:bCs/>
        </w:rPr>
        <w:t xml:space="preserve">KWF-relevante IKT-Vorfälle </w:t>
      </w:r>
      <w:r w:rsidR="00166B64">
        <w:rPr>
          <w:b/>
          <w:bCs/>
        </w:rPr>
        <w:t xml:space="preserve">und </w:t>
      </w:r>
      <w:r w:rsidRPr="00166B64">
        <w:rPr>
          <w:b/>
          <w:bCs/>
        </w:rPr>
        <w:t>Vorfälle</w:t>
      </w:r>
      <w:r w:rsidR="00166B64">
        <w:rPr>
          <w:b/>
          <w:bCs/>
        </w:rPr>
        <w:t xml:space="preserve"> mit Bezug zu lizenzierten Tätigkeiten</w:t>
      </w:r>
      <w:r w:rsidRPr="00166B64">
        <w:rPr>
          <w:b/>
          <w:bCs/>
        </w:rPr>
        <w:t xml:space="preserve">: </w:t>
      </w:r>
      <w:r w:rsidRPr="001F76E5">
        <w:t>Vorfälle</w:t>
      </w:r>
      <w:r w:rsidR="00166B64">
        <w:t>,</w:t>
      </w:r>
      <w:r w:rsidRPr="001F76E5">
        <w:t xml:space="preserve"> </w:t>
      </w:r>
      <w:r w:rsidR="00166B64">
        <w:t xml:space="preserve">die gemäß </w:t>
      </w:r>
      <w:r w:rsidR="00166B64" w:rsidRPr="001F76E5">
        <w:t>Artikel 6</w:t>
      </w:r>
      <w:r w:rsidR="00166B64">
        <w:t xml:space="preserve"> (a) „</w:t>
      </w:r>
      <w:r w:rsidR="00166B64" w:rsidRPr="00166B64">
        <w:t>IKT-Dienste oder Netzwerk- und Informationssysteme zur Unterstützung kritischer oder wichtiger Funktionen</w:t>
      </w:r>
      <w:r w:rsidR="00166B64">
        <w:t xml:space="preserve">“ betreffen oder die gemäß Artikel 6 (b) zulassungs- oder registrierungspflichtige Tätigkeiten betreffen, </w:t>
      </w:r>
      <w:r w:rsidRPr="001F76E5">
        <w:t xml:space="preserve">gelten als „schwerwiegende </w:t>
      </w:r>
      <w:r w:rsidR="00166B64">
        <w:t xml:space="preserve">IKT-bezogene </w:t>
      </w:r>
      <w:r w:rsidRPr="001F76E5">
        <w:t>Vorfälle“, wenn</w:t>
      </w:r>
    </w:p>
    <w:p w14:paraId="4F1912B9" w14:textId="77777777" w:rsidR="001F76E5" w:rsidRPr="001F76E5" w:rsidRDefault="001F76E5" w:rsidP="001F76E5">
      <w:pPr>
        <w:pStyle w:val="Listenabsatz"/>
        <w:numPr>
          <w:ilvl w:val="0"/>
          <w:numId w:val="3"/>
        </w:numPr>
        <w:jc w:val="both"/>
      </w:pPr>
      <w:r w:rsidRPr="001F76E5">
        <w:t xml:space="preserve">mindestens zwei sekundäre </w:t>
      </w:r>
      <w:proofErr w:type="spellStart"/>
      <w:r w:rsidRPr="001F76E5">
        <w:t>Vorfallskriterien</w:t>
      </w:r>
      <w:proofErr w:type="spellEnd"/>
      <w:r w:rsidRPr="001F76E5">
        <w:t xml:space="preserve"> als wesentlich eingestuft werden. </w:t>
      </w:r>
    </w:p>
    <w:p w14:paraId="0FF0212C" w14:textId="77777777" w:rsidR="001F76E5" w:rsidRPr="001F76E5" w:rsidRDefault="001F76E5" w:rsidP="001F76E5">
      <w:pPr>
        <w:pStyle w:val="Listenabsatz"/>
        <w:numPr>
          <w:ilvl w:val="0"/>
          <w:numId w:val="3"/>
        </w:numPr>
        <w:jc w:val="both"/>
      </w:pPr>
      <w:r w:rsidRPr="001F76E5">
        <w:t>sie mindestens zwei Mal innerhalb von 6 Monaten auftreten</w:t>
      </w:r>
    </w:p>
    <w:p w14:paraId="4B5718E2" w14:textId="77777777" w:rsidR="004304D4" w:rsidRDefault="001F76E5" w:rsidP="004304D4">
      <w:pPr>
        <w:pStyle w:val="Listenabsatz"/>
        <w:numPr>
          <w:ilvl w:val="0"/>
          <w:numId w:val="3"/>
        </w:numPr>
        <w:jc w:val="both"/>
      </w:pPr>
      <w:r w:rsidRPr="001F76E5">
        <w:t>wenn sie wiederholt auftreten und dieselbe Ursache haben</w:t>
      </w:r>
    </w:p>
    <w:p w14:paraId="50B9E052" w14:textId="48FCA4BC" w:rsidR="0064249B" w:rsidRDefault="001F76E5" w:rsidP="004304D4">
      <w:pPr>
        <w:pStyle w:val="Listenabsatz"/>
        <w:numPr>
          <w:ilvl w:val="0"/>
          <w:numId w:val="3"/>
        </w:numPr>
        <w:spacing w:after="0"/>
        <w:jc w:val="both"/>
      </w:pPr>
      <w:r w:rsidRPr="001F76E5">
        <w:t xml:space="preserve">wenn sie wiederholt auftreten und zusammen mindestens zwei sekundäre </w:t>
      </w:r>
      <w:proofErr w:type="spellStart"/>
      <w:r w:rsidRPr="001F76E5">
        <w:t>Vorfallskriterien</w:t>
      </w:r>
      <w:proofErr w:type="spellEnd"/>
      <w:r w:rsidRPr="001F76E5">
        <w:t xml:space="preserve"> als wesentlich eingestuft werden</w:t>
      </w:r>
      <w:r w:rsidR="004304D4">
        <w:t xml:space="preserve">. </w:t>
      </w:r>
    </w:p>
    <w:p w14:paraId="4228218A" w14:textId="5C183D15" w:rsidR="004304D4" w:rsidRPr="004304D4" w:rsidRDefault="004304D4" w:rsidP="004304D4">
      <w:pPr>
        <w:ind w:firstLine="708"/>
        <w:jc w:val="both"/>
      </w:pPr>
      <w:r w:rsidRPr="004304D4">
        <w:rPr>
          <w:b/>
          <w:bCs/>
        </w:rPr>
        <w:t>Das Vorliegen von wiederholten Vorfällen ist monatlich zu überprüfen.</w:t>
      </w:r>
    </w:p>
    <w:p w14:paraId="3FCBBB70" w14:textId="77777777" w:rsidR="004304D4" w:rsidRDefault="004304D4" w:rsidP="004304D4">
      <w:pPr>
        <w:jc w:val="both"/>
        <w:rPr>
          <w:b/>
          <w:bCs/>
        </w:rPr>
      </w:pPr>
    </w:p>
    <w:p w14:paraId="33BF596E" w14:textId="7E545FD6" w:rsidR="000476FD" w:rsidRDefault="00B149E9" w:rsidP="000476FD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E183F2C" wp14:editId="03B2A28F">
            <wp:extent cx="6609713" cy="3524250"/>
            <wp:effectExtent l="0" t="0" r="0" b="0"/>
            <wp:docPr id="194896223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58" cy="35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5C6D" w14:textId="77777777" w:rsidR="000476FD" w:rsidRPr="00B149E9" w:rsidRDefault="000476FD" w:rsidP="000476FD">
      <w:pPr>
        <w:spacing w:after="0" w:line="240" w:lineRule="auto"/>
        <w:rPr>
          <w:sz w:val="18"/>
          <w:szCs w:val="18"/>
        </w:rPr>
      </w:pPr>
    </w:p>
    <w:p w14:paraId="67F73A5A" w14:textId="77777777" w:rsidR="00B149E9" w:rsidRDefault="00B149E9" w:rsidP="00B149E9">
      <w:r>
        <w:rPr>
          <w:b/>
          <w:bCs/>
        </w:rPr>
        <w:lastRenderedPageBreak/>
        <w:t xml:space="preserve">Anhang 1: </w:t>
      </w:r>
      <w:r w:rsidRPr="00750E1E">
        <w:rPr>
          <w:b/>
          <w:bCs/>
        </w:rPr>
        <w:t>Hilfestellung</w:t>
      </w:r>
      <w:r>
        <w:rPr>
          <w:b/>
          <w:bCs/>
        </w:rPr>
        <w:t xml:space="preserve"> </w:t>
      </w:r>
      <w:r w:rsidRPr="003139C7">
        <w:rPr>
          <w:b/>
          <w:bCs/>
        </w:rPr>
        <w:t>zur Ermittlung von Kosten und Verlusten</w:t>
      </w:r>
      <w:r w:rsidRPr="0097095D">
        <w:t xml:space="preserve"> nach Artikel 7 (1) des RTS zur Klassifizierung von IKT-bezogenen Vorfällen (DELEGIERTE VERORDNUNG (EU) 2024/1772)</w:t>
      </w:r>
    </w:p>
    <w:tbl>
      <w:tblPr>
        <w:tblStyle w:val="EinfacheTabelle3"/>
        <w:tblW w:w="5000" w:type="pct"/>
        <w:tblLook w:val="04A0" w:firstRow="1" w:lastRow="0" w:firstColumn="1" w:lastColumn="0" w:noHBand="0" w:noVBand="1"/>
      </w:tblPr>
      <w:tblGrid>
        <w:gridCol w:w="404"/>
        <w:gridCol w:w="2290"/>
        <w:gridCol w:w="5691"/>
        <w:gridCol w:w="2297"/>
      </w:tblGrid>
      <w:tr w:rsidR="00B149E9" w:rsidRPr="0097095D" w14:paraId="32A57885" w14:textId="77777777" w:rsidTr="00AD6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" w:type="pct"/>
            <w:noWrap/>
            <w:vAlign w:val="center"/>
          </w:tcPr>
          <w:p w14:paraId="12866BFC" w14:textId="77777777" w:rsidR="00B149E9" w:rsidRPr="0097095D" w:rsidRDefault="00B149E9" w:rsidP="00AD6422">
            <w:pPr>
              <w:jc w:val="center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#</w:t>
            </w:r>
          </w:p>
        </w:tc>
        <w:tc>
          <w:tcPr>
            <w:tcW w:w="1072" w:type="pct"/>
            <w:vAlign w:val="center"/>
          </w:tcPr>
          <w:p w14:paraId="49E95B7E" w14:textId="77777777" w:rsidR="00B149E9" w:rsidRPr="0097095D" w:rsidRDefault="00B149E9" w:rsidP="00AD6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Kosten-/ Verlustart</w:t>
            </w:r>
          </w:p>
        </w:tc>
        <w:tc>
          <w:tcPr>
            <w:tcW w:w="2664" w:type="pct"/>
            <w:vAlign w:val="center"/>
          </w:tcPr>
          <w:p w14:paraId="1867CC6A" w14:textId="77777777" w:rsidR="00B149E9" w:rsidRPr="0097095D" w:rsidRDefault="00B149E9" w:rsidP="00AD6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Erläuterungen</w:t>
            </w:r>
          </w:p>
        </w:tc>
        <w:tc>
          <w:tcPr>
            <w:tcW w:w="1075" w:type="pct"/>
            <w:vAlign w:val="center"/>
          </w:tcPr>
          <w:p w14:paraId="6119B79A" w14:textId="77777777" w:rsidR="00B149E9" w:rsidRPr="0097095D" w:rsidRDefault="00B149E9" w:rsidP="00AD6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Kosten in EUR (geschätzt)</w:t>
            </w:r>
          </w:p>
        </w:tc>
      </w:tr>
      <w:tr w:rsidR="00B149E9" w:rsidRPr="0097095D" w14:paraId="5EF27570" w14:textId="77777777" w:rsidTr="00AD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110D5D89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1072" w:type="pct"/>
            <w:vAlign w:val="center"/>
          </w:tcPr>
          <w:p w14:paraId="48CA14BB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 xml:space="preserve">Verluste durch gestohlene </w:t>
            </w:r>
            <w:r>
              <w:rPr>
                <w:b/>
                <w:bCs/>
                <w:sz w:val="20"/>
                <w:szCs w:val="20"/>
              </w:rPr>
              <w:t>Vermögensw</w:t>
            </w:r>
            <w:r w:rsidRPr="0097095D">
              <w:rPr>
                <w:b/>
                <w:bCs/>
                <w:sz w:val="20"/>
                <w:szCs w:val="20"/>
              </w:rPr>
              <w:t>erte</w:t>
            </w:r>
          </w:p>
        </w:tc>
        <w:tc>
          <w:tcPr>
            <w:tcW w:w="2664" w:type="pct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B8A1A1C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Beispielsweise gestohlene </w:t>
            </w:r>
            <w:r w:rsidRPr="0097095D">
              <w:rPr>
                <w:sz w:val="20"/>
                <w:szCs w:val="20"/>
              </w:rPr>
              <w:t>Gelder,</w:t>
            </w:r>
            <w:r>
              <w:rPr>
                <w:sz w:val="20"/>
                <w:szCs w:val="20"/>
              </w:rPr>
              <w:t xml:space="preserve"> </w:t>
            </w:r>
            <w:r w:rsidRPr="0097095D">
              <w:rPr>
                <w:sz w:val="20"/>
                <w:szCs w:val="20"/>
              </w:rPr>
              <w:t>Krypto-Vermögenswerte</w:t>
            </w:r>
            <w:r>
              <w:rPr>
                <w:sz w:val="20"/>
                <w:szCs w:val="20"/>
              </w:rPr>
              <w:t xml:space="preserve">, </w:t>
            </w:r>
            <w:r w:rsidRPr="0097095D">
              <w:rPr>
                <w:sz w:val="20"/>
                <w:szCs w:val="20"/>
              </w:rPr>
              <w:t>Kundendaten, Geschäftsinformationen</w:t>
            </w:r>
            <w:r>
              <w:rPr>
                <w:sz w:val="20"/>
                <w:szCs w:val="20"/>
              </w:rPr>
              <w:t xml:space="preserve">, Hardware, </w:t>
            </w:r>
            <w:r w:rsidRPr="0097095D">
              <w:rPr>
                <w:sz w:val="20"/>
                <w:szCs w:val="20"/>
              </w:rPr>
              <w:t>Verträge, Akte</w:t>
            </w:r>
            <w:r>
              <w:rPr>
                <w:sz w:val="20"/>
                <w:szCs w:val="20"/>
              </w:rPr>
              <w:t xml:space="preserve">, etc. </w:t>
            </w:r>
          </w:p>
        </w:tc>
        <w:tc>
          <w:tcPr>
            <w:tcW w:w="1075" w:type="pc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4C186549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33691392" w14:textId="77777777" w:rsidTr="00AD642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16903450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b)</w:t>
            </w:r>
          </w:p>
        </w:tc>
        <w:tc>
          <w:tcPr>
            <w:tcW w:w="1072" w:type="pct"/>
            <w:vAlign w:val="center"/>
          </w:tcPr>
          <w:p w14:paraId="3533A6BF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Kosten für neue Technik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1990C462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Ersatz oder Umzug von Software, Hardware oder Infrastruktur.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A92A8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62F7C015" w14:textId="77777777" w:rsidTr="00AD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61208807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c)</w:t>
            </w:r>
          </w:p>
        </w:tc>
        <w:tc>
          <w:tcPr>
            <w:tcW w:w="1072" w:type="pct"/>
            <w:vAlign w:val="center"/>
          </w:tcPr>
          <w:p w14:paraId="380F5307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Personalkosten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3EF10F41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Kosten für zusätzliches Personal, Überstunden oder das Ersetzen von Teammitgliedern.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170A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1E5F6786" w14:textId="77777777" w:rsidTr="00AD642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5590E395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d)</w:t>
            </w:r>
          </w:p>
        </w:tc>
        <w:tc>
          <w:tcPr>
            <w:tcW w:w="1072" w:type="pct"/>
            <w:vAlign w:val="center"/>
          </w:tcPr>
          <w:p w14:paraId="3277B1EF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Vertragsstrafen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34F1D965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Gebühren wegen nicht erfüllter Verträge.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BAAE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777FCF28" w14:textId="77777777" w:rsidTr="00AD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4D135001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e)</w:t>
            </w:r>
          </w:p>
        </w:tc>
        <w:tc>
          <w:tcPr>
            <w:tcW w:w="1072" w:type="pct"/>
            <w:vAlign w:val="center"/>
          </w:tcPr>
          <w:p w14:paraId="78F10569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Entschädigungen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51697F2F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Zahlungen an betroffene Kunden.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1998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04E0CCA5" w14:textId="77777777" w:rsidTr="00AD642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7D3B23CB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f)</w:t>
            </w:r>
          </w:p>
        </w:tc>
        <w:tc>
          <w:tcPr>
            <w:tcW w:w="1072" w:type="pct"/>
            <w:vAlign w:val="center"/>
          </w:tcPr>
          <w:p w14:paraId="60D92319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Verluste durch fehlende Einnahmen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052455C5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Umsatzausfälle während des Vorfalls.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1851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1B5B3FC5" w14:textId="77777777" w:rsidTr="00AD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3F179B07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g)</w:t>
            </w:r>
          </w:p>
        </w:tc>
        <w:tc>
          <w:tcPr>
            <w:tcW w:w="1072" w:type="pct"/>
            <w:vAlign w:val="center"/>
          </w:tcPr>
          <w:p w14:paraId="07A32128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Kommunikationskosten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183BA532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Kosten für interne und externe Informationen, z. B. an Kunden oder Medien.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2257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2BD1A9A5" w14:textId="77777777" w:rsidTr="00AD642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vAlign w:val="center"/>
          </w:tcPr>
          <w:p w14:paraId="16AA2C14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7095D">
              <w:rPr>
                <w:b w:val="0"/>
                <w:bCs w:val="0"/>
                <w:sz w:val="20"/>
                <w:szCs w:val="20"/>
              </w:rPr>
              <w:t>h)</w:t>
            </w:r>
          </w:p>
        </w:tc>
        <w:tc>
          <w:tcPr>
            <w:tcW w:w="1072" w:type="pct"/>
            <w:vAlign w:val="center"/>
          </w:tcPr>
          <w:p w14:paraId="1969C7FF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7095D">
              <w:rPr>
                <w:b/>
                <w:bCs/>
                <w:sz w:val="20"/>
                <w:szCs w:val="20"/>
              </w:rPr>
              <w:t>Beratungskosten</w:t>
            </w:r>
          </w:p>
        </w:tc>
        <w:tc>
          <w:tcPr>
            <w:tcW w:w="2664" w:type="pct"/>
            <w:tcBorders>
              <w:right w:val="single" w:sz="4" w:space="0" w:color="auto"/>
            </w:tcBorders>
            <w:vAlign w:val="center"/>
          </w:tcPr>
          <w:p w14:paraId="0A2A351E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95D">
              <w:rPr>
                <w:sz w:val="20"/>
                <w:szCs w:val="20"/>
              </w:rPr>
              <w:t>Ausgaben für Rechtsanwälte, IT-Forensik und externe Experten, um das Problem zu lösen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6B36" w14:textId="77777777" w:rsidR="00B149E9" w:rsidRPr="0097095D" w:rsidRDefault="00B149E9" w:rsidP="00AD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9E9" w:rsidRPr="0097095D" w14:paraId="694A7BC8" w14:textId="77777777" w:rsidTr="00AD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bottom w:val="single" w:sz="4" w:space="0" w:color="auto"/>
            </w:tcBorders>
            <w:noWrap/>
            <w:vAlign w:val="center"/>
          </w:tcPr>
          <w:p w14:paraId="2565ED2B" w14:textId="77777777" w:rsidR="00B149E9" w:rsidRPr="0097095D" w:rsidRDefault="00B149E9" w:rsidP="00AD6422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14:paraId="5248565F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66CDA" w14:textId="77777777" w:rsidR="00B149E9" w:rsidRPr="0097095D" w:rsidRDefault="00B149E9" w:rsidP="00AD64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97095D">
              <w:rPr>
                <w:b/>
                <w:bCs/>
                <w:color w:val="FF0000"/>
                <w:sz w:val="20"/>
                <w:szCs w:val="20"/>
              </w:rPr>
              <w:t>Summe: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C814" w14:textId="77777777" w:rsidR="00B149E9" w:rsidRPr="0097095D" w:rsidRDefault="00B149E9" w:rsidP="00AD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1EAD2F9" w14:textId="77777777" w:rsidR="004304D4" w:rsidRDefault="004304D4" w:rsidP="00B149E9"/>
    <w:p w14:paraId="47427BD6" w14:textId="03197003" w:rsidR="00B149E9" w:rsidRPr="00044FD9" w:rsidRDefault="00B149E9" w:rsidP="00B149E9">
      <w:r w:rsidRPr="00044FD9">
        <w:t xml:space="preserve">Folgende Kosten sollen bei der Ermittlung der Wirtschaftlichen Auswirkungen </w:t>
      </w:r>
      <w:r w:rsidRPr="00044FD9">
        <w:rPr>
          <w:b/>
          <w:bCs/>
          <w:u w:val="single"/>
        </w:rPr>
        <w:t>nicht</w:t>
      </w:r>
      <w:r w:rsidRPr="00044FD9">
        <w:t xml:space="preserve"> berücksichtigt werden: </w:t>
      </w:r>
    </w:p>
    <w:p w14:paraId="5C959ABB" w14:textId="77777777" w:rsidR="00B149E9" w:rsidRPr="00044FD9" w:rsidRDefault="00B149E9" w:rsidP="004304D4">
      <w:pPr>
        <w:numPr>
          <w:ilvl w:val="0"/>
          <w:numId w:val="4"/>
        </w:numPr>
        <w:spacing w:after="0" w:line="240" w:lineRule="auto"/>
        <w:ind w:left="714" w:hanging="357"/>
        <w:rPr>
          <w:sz w:val="20"/>
          <w:szCs w:val="20"/>
        </w:rPr>
      </w:pPr>
      <w:r w:rsidRPr="00044FD9">
        <w:rPr>
          <w:sz w:val="20"/>
          <w:szCs w:val="20"/>
        </w:rPr>
        <w:t xml:space="preserve">Keine Wartungs- und Schulungskosten, d.h. keine regelmäßigen Ausgaben für die Instandhaltung von Infrastruktur, Geräten, Hardware und Software und auch keine Weiterbildungskosten </w:t>
      </w:r>
    </w:p>
    <w:p w14:paraId="725DD78A" w14:textId="77777777" w:rsidR="00B149E9" w:rsidRPr="00044FD9" w:rsidRDefault="00B149E9" w:rsidP="004304D4">
      <w:pPr>
        <w:numPr>
          <w:ilvl w:val="0"/>
          <w:numId w:val="4"/>
        </w:numPr>
        <w:spacing w:after="0" w:line="240" w:lineRule="auto"/>
        <w:ind w:left="714" w:hanging="357"/>
        <w:rPr>
          <w:sz w:val="20"/>
          <w:szCs w:val="20"/>
        </w:rPr>
      </w:pPr>
      <w:r w:rsidRPr="00044FD9">
        <w:rPr>
          <w:sz w:val="20"/>
          <w:szCs w:val="20"/>
        </w:rPr>
        <w:t>Keine Kosten für betriebliche Verbesserungen, d.h. keine Kosten für Upgrades, Verbesserungen oder Investitionen nach einem Vorfall</w:t>
      </w:r>
    </w:p>
    <w:p w14:paraId="1522C0A5" w14:textId="77777777" w:rsidR="00B149E9" w:rsidRDefault="00B149E9" w:rsidP="004304D4">
      <w:pPr>
        <w:numPr>
          <w:ilvl w:val="0"/>
          <w:numId w:val="4"/>
        </w:numPr>
        <w:spacing w:after="0" w:line="240" w:lineRule="auto"/>
        <w:ind w:left="714" w:hanging="357"/>
      </w:pPr>
      <w:r w:rsidRPr="00044FD9">
        <w:rPr>
          <w:sz w:val="20"/>
          <w:szCs w:val="20"/>
        </w:rPr>
        <w:t xml:space="preserve">Keine regelmäßigen Beiträge für Versicherungen </w:t>
      </w:r>
    </w:p>
    <w:p w14:paraId="08275512" w14:textId="77777777" w:rsidR="00B149E9" w:rsidRPr="00B149E9" w:rsidRDefault="00B149E9" w:rsidP="00B149E9">
      <w:pPr>
        <w:jc w:val="both"/>
        <w:rPr>
          <w:sz w:val="20"/>
          <w:szCs w:val="20"/>
        </w:rPr>
      </w:pPr>
    </w:p>
    <w:sectPr w:rsidR="00B149E9" w:rsidRPr="00B149E9" w:rsidSect="004304D4">
      <w:footerReference w:type="default" r:id="rId5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21A3" w14:textId="77777777" w:rsidR="00A8590F" w:rsidRDefault="00A8590F" w:rsidP="00A8590F">
      <w:pPr>
        <w:spacing w:after="0" w:line="240" w:lineRule="auto"/>
      </w:pPr>
      <w:r>
        <w:separator/>
      </w:r>
    </w:p>
  </w:endnote>
  <w:endnote w:type="continuationSeparator" w:id="0">
    <w:p w14:paraId="25EB5195" w14:textId="77777777" w:rsidR="00A8590F" w:rsidRDefault="00A8590F" w:rsidP="00A8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32DA" w14:textId="5FC12796" w:rsidR="004304D4" w:rsidRPr="004304D4" w:rsidRDefault="004304D4" w:rsidP="004304D4">
    <w:pPr>
      <w:pStyle w:val="Fuzeile"/>
      <w:rPr>
        <w:sz w:val="14"/>
        <w:szCs w:val="14"/>
      </w:rPr>
    </w:pPr>
    <w:r w:rsidRPr="004304D4">
      <w:rPr>
        <w:sz w:val="14"/>
        <w:szCs w:val="14"/>
        <w:lang w:val="en-DE"/>
      </w:rPr>
      <w:t>© Copyright 2024 | Dr. Marlen Hofmann| All rights reserved</w:t>
    </w:r>
    <w:r w:rsidRPr="004304D4">
      <w:rPr>
        <w:sz w:val="14"/>
        <w:szCs w:val="14"/>
        <w:lang w:val="en-DE"/>
      </w:rPr>
      <w:t xml:space="preserve"> | </w:t>
    </w:r>
    <w:r w:rsidRPr="004304D4">
      <w:rPr>
        <w:sz w:val="14"/>
        <w:szCs w:val="14"/>
      </w:rPr>
      <w:t>Nutzung für nicht-kommerzielle Zwecke gestattet.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8C7D" w14:textId="77777777" w:rsidR="00A8590F" w:rsidRDefault="00A8590F" w:rsidP="00A8590F">
      <w:pPr>
        <w:spacing w:after="0" w:line="240" w:lineRule="auto"/>
      </w:pPr>
      <w:r>
        <w:separator/>
      </w:r>
    </w:p>
  </w:footnote>
  <w:footnote w:type="continuationSeparator" w:id="0">
    <w:p w14:paraId="2ABFD24F" w14:textId="77777777" w:rsidR="00A8590F" w:rsidRDefault="00A8590F" w:rsidP="00A8590F">
      <w:pPr>
        <w:spacing w:after="0" w:line="240" w:lineRule="auto"/>
      </w:pPr>
      <w:r>
        <w:continuationSeparator/>
      </w:r>
    </w:p>
  </w:footnote>
  <w:footnote w:id="1">
    <w:p w14:paraId="6E62C643" w14:textId="436C721F" w:rsidR="00863899" w:rsidRDefault="008638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94A6D">
        <w:rPr>
          <w:sz w:val="16"/>
          <w:szCs w:val="16"/>
        </w:rPr>
        <w:t>Die Ursache des Vorfalls ist unerheblich, d.h. es sind auch technisch bedingte oder unbeabsichtigte Vorfälle</w:t>
      </w:r>
      <w:r>
        <w:rPr>
          <w:sz w:val="16"/>
          <w:szCs w:val="16"/>
        </w:rPr>
        <w:t xml:space="preserve"> </w:t>
      </w:r>
      <w:r w:rsidRPr="00194A6D">
        <w:rPr>
          <w:sz w:val="16"/>
          <w:szCs w:val="16"/>
        </w:rPr>
        <w:t>zu bewerten.</w:t>
      </w:r>
      <w:r>
        <w:t xml:space="preserve">  </w:t>
      </w:r>
    </w:p>
  </w:footnote>
  <w:footnote w:id="2">
    <w:p w14:paraId="7DEF7DC9" w14:textId="77777777" w:rsidR="00A92659" w:rsidRPr="00194A6D" w:rsidRDefault="00A92659" w:rsidP="00A92659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194A6D">
        <w:rPr>
          <w:sz w:val="16"/>
          <w:szCs w:val="16"/>
        </w:rPr>
        <w:t>Eine Hilfestellung zur Ermittlung der Kosten findet sich in Anhang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D6"/>
    <w:multiLevelType w:val="hybridMultilevel"/>
    <w:tmpl w:val="27D6BC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E05"/>
    <w:multiLevelType w:val="multilevel"/>
    <w:tmpl w:val="5350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10515"/>
    <w:multiLevelType w:val="hybridMultilevel"/>
    <w:tmpl w:val="039CB5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D35"/>
    <w:multiLevelType w:val="hybridMultilevel"/>
    <w:tmpl w:val="82C8CB28"/>
    <w:lvl w:ilvl="0" w:tplc="200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FF56ABF"/>
    <w:multiLevelType w:val="hybridMultilevel"/>
    <w:tmpl w:val="00F61C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0870">
    <w:abstractNumId w:val="0"/>
  </w:num>
  <w:num w:numId="2" w16cid:durableId="292368531">
    <w:abstractNumId w:val="2"/>
  </w:num>
  <w:num w:numId="3" w16cid:durableId="131753044">
    <w:abstractNumId w:val="3"/>
  </w:num>
  <w:num w:numId="4" w16cid:durableId="344475312">
    <w:abstractNumId w:val="1"/>
  </w:num>
  <w:num w:numId="5" w16cid:durableId="183726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590F"/>
    <w:rsid w:val="00030418"/>
    <w:rsid w:val="000476FD"/>
    <w:rsid w:val="00166B64"/>
    <w:rsid w:val="00194A6D"/>
    <w:rsid w:val="001F76E5"/>
    <w:rsid w:val="00413563"/>
    <w:rsid w:val="004304D4"/>
    <w:rsid w:val="0064249B"/>
    <w:rsid w:val="00710708"/>
    <w:rsid w:val="00834A5B"/>
    <w:rsid w:val="00863899"/>
    <w:rsid w:val="00A23F14"/>
    <w:rsid w:val="00A76A9A"/>
    <w:rsid w:val="00A8590F"/>
    <w:rsid w:val="00A92659"/>
    <w:rsid w:val="00A97E0D"/>
    <w:rsid w:val="00B149E9"/>
    <w:rsid w:val="00C077D7"/>
    <w:rsid w:val="00C8435F"/>
    <w:rsid w:val="00CC0A06"/>
    <w:rsid w:val="00E37B1F"/>
    <w:rsid w:val="00EA7EC1"/>
    <w:rsid w:val="00ED36D0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157C01"/>
  <w15:chartTrackingRefBased/>
  <w15:docId w15:val="{686722C5-2B6F-45AC-997D-8BB8AB4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90F"/>
  </w:style>
  <w:style w:type="paragraph" w:styleId="berschrift1">
    <w:name w:val="heading 1"/>
    <w:basedOn w:val="Standard"/>
    <w:next w:val="Standard"/>
    <w:link w:val="berschrift1Zchn"/>
    <w:uiPriority w:val="9"/>
    <w:qFormat/>
    <w:rsid w:val="00A85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59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5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59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5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5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5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5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59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59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59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590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590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59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59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59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59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5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9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5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59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59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590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59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590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590F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A8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859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859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8590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8590F"/>
    <w:rPr>
      <w:color w:val="0000FF" w:themeColor="hyperlink"/>
      <w:u w:val="single"/>
    </w:rPr>
  </w:style>
  <w:style w:type="character" w:styleId="Buchtitel">
    <w:name w:val="Book Title"/>
    <w:basedOn w:val="Absatz-Standardschriftart"/>
    <w:uiPriority w:val="33"/>
    <w:qFormat/>
    <w:rsid w:val="00194A6D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9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A6D"/>
  </w:style>
  <w:style w:type="paragraph" w:styleId="Fuzeile">
    <w:name w:val="footer"/>
    <w:basedOn w:val="Standard"/>
    <w:link w:val="FuzeileZchn"/>
    <w:uiPriority w:val="99"/>
    <w:unhideWhenUsed/>
    <w:rsid w:val="0019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A6D"/>
  </w:style>
  <w:style w:type="character" w:styleId="NichtaufgelsteErwhnung">
    <w:name w:val="Unresolved Mention"/>
    <w:basedOn w:val="Absatz-Standardschriftart"/>
    <w:uiPriority w:val="99"/>
    <w:semiHidden/>
    <w:unhideWhenUsed/>
    <w:rsid w:val="000476FD"/>
    <w:rPr>
      <w:color w:val="605E5C"/>
      <w:shd w:val="clear" w:color="auto" w:fill="E1DFDD"/>
    </w:rPr>
  </w:style>
  <w:style w:type="table" w:styleId="EinfacheTabelle3">
    <w:name w:val="Plain Table 3"/>
    <w:basedOn w:val="NormaleTabelle"/>
    <w:uiPriority w:val="43"/>
    <w:rsid w:val="00B149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a.europa.eu/sites/default/files/2024-06/ef5f4b3f-f81d-4c3f-b799-06058e28d67e/ITS%20on%20RoI%20-%20Annex%202%20list%20of%20licensed%20activities%20for%20data%20point%20model.xlsx" TargetMode="Externa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image" Target="media/image4.png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hyperlink" Target="https://eur-lex.europa.eu/legal-content/DE/TXT/PDF/?uri=OJ:L_202401772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A091-A92C-4E2D-BD68-192B95CD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Hofmann</dc:creator>
  <cp:keywords/>
  <dc:description/>
  <cp:lastModifiedBy>Marlen Hofmann</cp:lastModifiedBy>
  <cp:revision>5</cp:revision>
  <dcterms:created xsi:type="dcterms:W3CDTF">2024-12-11T06:58:00Z</dcterms:created>
  <dcterms:modified xsi:type="dcterms:W3CDTF">2024-12-11T12:42:00Z</dcterms:modified>
</cp:coreProperties>
</file>